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BA5E0" w14:textId="77777777" w:rsidR="00EC5106" w:rsidRPr="001A0AE1" w:rsidRDefault="00EC5106" w:rsidP="003D04F5">
      <w:pPr>
        <w:pStyle w:val="Sinespaciado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2977039" w14:textId="334F7FEC" w:rsidR="00EC5106" w:rsidRPr="001A0AE1" w:rsidRDefault="00EC5106" w:rsidP="003D04F5">
      <w:pPr>
        <w:pStyle w:val="Sinespaciado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A0AE1">
        <w:rPr>
          <w:rFonts w:ascii="Arial" w:hAnsi="Arial" w:cs="Arial"/>
          <w:b/>
          <w:bCs/>
          <w:sz w:val="24"/>
          <w:szCs w:val="24"/>
        </w:rPr>
        <w:t>H. AYUNTAMIENTO CONSTITUCIONAL DE</w:t>
      </w:r>
    </w:p>
    <w:p w14:paraId="76B8F91F" w14:textId="77777777" w:rsidR="00EC5106" w:rsidRPr="001A0AE1" w:rsidRDefault="00EC5106" w:rsidP="003D04F5">
      <w:pPr>
        <w:pStyle w:val="Sinespaciado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A0AE1">
        <w:rPr>
          <w:rFonts w:ascii="Arial" w:hAnsi="Arial" w:cs="Arial"/>
          <w:b/>
          <w:bCs/>
          <w:sz w:val="24"/>
          <w:szCs w:val="24"/>
        </w:rPr>
        <w:t xml:space="preserve">ZAPOTLÁN EL GRANDE, JALISCO. </w:t>
      </w:r>
    </w:p>
    <w:p w14:paraId="3139FFDE" w14:textId="77777777" w:rsidR="00EC5106" w:rsidRPr="001A0AE1" w:rsidRDefault="00EC5106" w:rsidP="003D04F5">
      <w:pPr>
        <w:pStyle w:val="Sinespaciado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A0AE1">
        <w:rPr>
          <w:rFonts w:ascii="Arial" w:hAnsi="Arial" w:cs="Arial"/>
          <w:b/>
          <w:bCs/>
          <w:sz w:val="24"/>
          <w:szCs w:val="24"/>
        </w:rPr>
        <w:t xml:space="preserve">P R E S E N T E.- </w:t>
      </w:r>
    </w:p>
    <w:p w14:paraId="1919A6D1" w14:textId="77777777" w:rsidR="00EC5106" w:rsidRPr="001A0AE1" w:rsidRDefault="00EC5106" w:rsidP="003D04F5">
      <w:pPr>
        <w:spacing w:line="360" w:lineRule="auto"/>
        <w:rPr>
          <w:rFonts w:ascii="Arial" w:hAnsi="Arial" w:cs="Arial"/>
        </w:rPr>
      </w:pPr>
    </w:p>
    <w:p w14:paraId="746D6B13" w14:textId="05A0DE13" w:rsidR="00C20F45" w:rsidRPr="001A0AE1" w:rsidRDefault="00EC5106" w:rsidP="003D04F5">
      <w:pPr>
        <w:spacing w:line="360" w:lineRule="auto"/>
        <w:ind w:firstLine="708"/>
        <w:jc w:val="both"/>
        <w:rPr>
          <w:rFonts w:ascii="Arial" w:hAnsi="Arial" w:cs="Arial"/>
        </w:rPr>
      </w:pPr>
      <w:r w:rsidRPr="001A0AE1">
        <w:rPr>
          <w:rFonts w:ascii="Arial" w:hAnsi="Arial" w:cs="Arial"/>
        </w:rPr>
        <w:t xml:space="preserve">Quien motiva y suscribe </w:t>
      </w:r>
      <w:r w:rsidRPr="001A0AE1">
        <w:rPr>
          <w:rFonts w:ascii="Arial" w:hAnsi="Arial" w:cs="Arial"/>
          <w:b/>
          <w:color w:val="000000"/>
        </w:rPr>
        <w:t>MTRA. MARÍA OLGA GARCÍA AYALA</w:t>
      </w:r>
      <w:r w:rsidRPr="001A0AE1">
        <w:rPr>
          <w:rFonts w:ascii="Arial" w:hAnsi="Arial" w:cs="Arial"/>
          <w:b/>
        </w:rPr>
        <w:t xml:space="preserve">, </w:t>
      </w:r>
      <w:r w:rsidRPr="001A0AE1">
        <w:rPr>
          <w:rFonts w:ascii="Arial" w:hAnsi="Arial" w:cs="Arial"/>
        </w:rPr>
        <w:t>en mi calidad de Regidora de este Ayuntamiento de Zapotlán el Grande, Jalisco y con fundamento en los artículos: 115 fracción I, primer párrafo así como la fracción II de la Constitución Política de los Estados Unidos Mexicanos; numerales 1, 2, 3, 73, 77, 78 y demás relativos de la Constitución Política del Estado de Jalisco; 1, 2, 3, 10, 41 fracción II, 42, 49, 50 fracción I y demás relativos de La Ley del Gobierno y la Administración Pública Municipal del Estado de Jalisco, así como los  artículos 38 fracción IV</w:t>
      </w:r>
      <w:r w:rsidRPr="00EF1B30">
        <w:rPr>
          <w:rFonts w:ascii="Arial" w:hAnsi="Arial" w:cs="Arial"/>
        </w:rPr>
        <w:t>, 87 fracción II, 100 y demás</w:t>
      </w:r>
      <w:r w:rsidRPr="001A0AE1">
        <w:rPr>
          <w:rFonts w:ascii="Arial" w:hAnsi="Arial" w:cs="Arial"/>
        </w:rPr>
        <w:t xml:space="preserve"> relativos del Reglamento Interior de Zapotlán el Grande, Jalisco; en uso de la facultad conferida en las disposiciones citadas, presento ante ustedes compañeros integrantes de este Órgano de Gobierno Municipal la siguiente</w:t>
      </w:r>
      <w:r w:rsidR="00C20F45" w:rsidRPr="001A0AE1">
        <w:rPr>
          <w:rFonts w:ascii="Arial" w:hAnsi="Arial" w:cs="Arial"/>
        </w:rPr>
        <w:t>:</w:t>
      </w:r>
      <w:r w:rsidRPr="001A0AE1">
        <w:rPr>
          <w:rFonts w:ascii="Arial" w:hAnsi="Arial" w:cs="Arial"/>
        </w:rPr>
        <w:t xml:space="preserve">  </w:t>
      </w:r>
      <w:bookmarkStart w:id="0" w:name="_Hlk212209207"/>
      <w:r w:rsidR="00C20F45" w:rsidRPr="006605B5">
        <w:rPr>
          <w:rFonts w:ascii="Arial" w:hAnsi="Arial" w:cs="Arial"/>
          <w:b/>
          <w:bCs/>
        </w:rPr>
        <w:t>“</w:t>
      </w:r>
      <w:r w:rsidRPr="006605B5">
        <w:rPr>
          <w:rFonts w:ascii="Arial" w:hAnsi="Arial" w:cs="Arial"/>
          <w:b/>
          <w:bCs/>
          <w:iCs/>
          <w:color w:val="000000"/>
        </w:rPr>
        <w:t>I</w:t>
      </w:r>
      <w:r w:rsidRPr="001A0AE1">
        <w:rPr>
          <w:rFonts w:ascii="Arial" w:hAnsi="Arial" w:cs="Arial"/>
          <w:b/>
          <w:iCs/>
          <w:color w:val="000000"/>
        </w:rPr>
        <w:t xml:space="preserve">NICIATIVA QUE TURNA A </w:t>
      </w:r>
      <w:r w:rsidR="00D66E57">
        <w:rPr>
          <w:rFonts w:ascii="Arial" w:hAnsi="Arial" w:cs="Arial"/>
          <w:b/>
          <w:iCs/>
          <w:color w:val="000000"/>
        </w:rPr>
        <w:t>LA COMISIÓN EDICILIA DE TRÁNSITO Y PROTECCIÓN CIVIL,</w:t>
      </w:r>
      <w:r w:rsidR="00C20F45" w:rsidRPr="001A0AE1">
        <w:rPr>
          <w:rFonts w:ascii="Arial" w:hAnsi="Arial" w:cs="Arial"/>
          <w:b/>
          <w:iCs/>
          <w:color w:val="000000"/>
        </w:rPr>
        <w:t xml:space="preserve"> LA PROPUESTA</w:t>
      </w:r>
      <w:r w:rsidR="00F064DB">
        <w:rPr>
          <w:rFonts w:ascii="Arial" w:hAnsi="Arial" w:cs="Arial"/>
          <w:b/>
        </w:rPr>
        <w:t xml:space="preserve"> DE IMPLEM</w:t>
      </w:r>
      <w:r w:rsidR="00D66E57">
        <w:rPr>
          <w:rFonts w:ascii="Arial" w:hAnsi="Arial" w:cs="Arial"/>
          <w:b/>
        </w:rPr>
        <w:t>EN</w:t>
      </w:r>
      <w:r w:rsidR="00F064DB">
        <w:rPr>
          <w:rFonts w:ascii="Arial" w:hAnsi="Arial" w:cs="Arial"/>
          <w:b/>
        </w:rPr>
        <w:t xml:space="preserve">TAR EL PROGRAMA DE </w:t>
      </w:r>
      <w:r w:rsidR="006605B5">
        <w:rPr>
          <w:rFonts w:ascii="Arial" w:hAnsi="Arial" w:cs="Arial"/>
          <w:b/>
        </w:rPr>
        <w:t>“</w:t>
      </w:r>
      <w:r w:rsidR="00F064DB">
        <w:rPr>
          <w:rFonts w:ascii="Arial" w:hAnsi="Arial" w:cs="Arial"/>
          <w:b/>
        </w:rPr>
        <w:t>BANQUETAS LIBRES</w:t>
      </w:r>
      <w:r w:rsidR="006605B5">
        <w:rPr>
          <w:rFonts w:ascii="Arial" w:hAnsi="Arial" w:cs="Arial"/>
          <w:b/>
        </w:rPr>
        <w:t xml:space="preserve"> Y SEGURAS EN ZAPOTLÁN EL GRAND</w:t>
      </w:r>
      <w:r w:rsidR="00D66E57">
        <w:rPr>
          <w:rFonts w:ascii="Arial" w:hAnsi="Arial" w:cs="Arial"/>
          <w:b/>
        </w:rPr>
        <w:t>E</w:t>
      </w:r>
      <w:r w:rsidR="006605B5">
        <w:rPr>
          <w:rFonts w:ascii="Arial" w:hAnsi="Arial" w:cs="Arial"/>
          <w:b/>
        </w:rPr>
        <w:t>.”</w:t>
      </w:r>
    </w:p>
    <w:bookmarkEnd w:id="0"/>
    <w:p w14:paraId="09D9C285" w14:textId="77777777" w:rsidR="00EC5106" w:rsidRPr="001A0AE1" w:rsidRDefault="00EC5106" w:rsidP="003D04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1A0AE1">
        <w:rPr>
          <w:rFonts w:ascii="Arial" w:hAnsi="Arial" w:cs="Arial"/>
          <w:b/>
          <w:bCs/>
          <w:iCs/>
          <w:color w:val="000000"/>
        </w:rPr>
        <w:t xml:space="preserve">EXPOSICIÓN DE MOTIVOS: </w:t>
      </w:r>
    </w:p>
    <w:p w14:paraId="369C42DF" w14:textId="77777777" w:rsidR="00EC5106" w:rsidRPr="001A0AE1" w:rsidRDefault="00EC5106" w:rsidP="003D04F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Cs/>
          <w:color w:val="000000"/>
        </w:rPr>
      </w:pPr>
    </w:p>
    <w:p w14:paraId="2A913EAD" w14:textId="0AF2D4CE" w:rsidR="00C20F45" w:rsidRPr="001A0AE1" w:rsidRDefault="00C20F45" w:rsidP="00F064DB">
      <w:pPr>
        <w:spacing w:line="360" w:lineRule="auto"/>
        <w:ind w:firstLine="708"/>
        <w:jc w:val="both"/>
        <w:rPr>
          <w:rFonts w:ascii="Arial" w:hAnsi="Arial" w:cs="Arial"/>
          <w:color w:val="000000"/>
          <w:lang w:eastAsia="es-MX"/>
        </w:rPr>
      </w:pPr>
      <w:r w:rsidRPr="001A0AE1">
        <w:rPr>
          <w:rFonts w:ascii="Arial" w:hAnsi="Arial" w:cs="Arial"/>
          <w:b/>
        </w:rPr>
        <w:t>I.-</w:t>
      </w:r>
      <w:r w:rsidRPr="001A0AE1">
        <w:rPr>
          <w:rFonts w:ascii="Arial" w:hAnsi="Arial" w:cs="Arial"/>
        </w:rPr>
        <w:t xml:space="preserve"> Que de conformidad al </w:t>
      </w:r>
      <w:r w:rsidRPr="006605B5">
        <w:rPr>
          <w:rFonts w:ascii="Arial" w:hAnsi="Arial" w:cs="Arial"/>
          <w:b/>
          <w:bCs/>
        </w:rPr>
        <w:t>artículo 115 de la Constitución Política de los Estados Unidos Mexicanos</w:t>
      </w:r>
      <w:r w:rsidRPr="001A0AE1">
        <w:rPr>
          <w:rFonts w:ascii="Arial" w:hAnsi="Arial" w:cs="Arial"/>
        </w:rPr>
        <w:t>, que establece que l</w:t>
      </w:r>
      <w:r w:rsidRPr="001A0AE1">
        <w:rPr>
          <w:rFonts w:ascii="Arial" w:hAnsi="Arial" w:cs="Arial"/>
          <w:lang w:eastAsia="es-MX"/>
        </w:rPr>
        <w:t xml:space="preserve">os Estados adoptarán, para su régimen interior, la forma de gobierno republicano, representativo, popular, teniendo como base de su división territorial y de su organización política y administrativa el Municipio Libre, así como la integración de un Ayuntamiento de elección popular directa, </w:t>
      </w:r>
      <w:r w:rsidRPr="001A0AE1">
        <w:rPr>
          <w:rFonts w:ascii="Arial" w:hAnsi="Arial" w:cs="Arial"/>
          <w:color w:val="000000"/>
          <w:lang w:eastAsia="es-MX"/>
        </w:rPr>
        <w:t>tendrán facultades para aprobar, de acuerdo con las leyes en materia municipal que deberán expedir las legislaturas de los Estados, los bandos de policía y gobierno, los reglamentos, circulares y disposiciones administrativas de observancia general que organice la Administración Pública.</w:t>
      </w:r>
    </w:p>
    <w:p w14:paraId="095AA296" w14:textId="77777777" w:rsidR="003D04F5" w:rsidRDefault="003D04F5" w:rsidP="003D04F5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lang w:eastAsia="es-MX"/>
        </w:rPr>
      </w:pPr>
    </w:p>
    <w:p w14:paraId="61703EFF" w14:textId="20DA9AA9" w:rsidR="00C20F45" w:rsidRPr="001A0AE1" w:rsidRDefault="00C20F45" w:rsidP="003D04F5">
      <w:pPr>
        <w:spacing w:line="360" w:lineRule="auto"/>
        <w:ind w:firstLine="708"/>
        <w:jc w:val="both"/>
        <w:rPr>
          <w:rFonts w:ascii="Arial" w:hAnsi="Arial" w:cs="Arial"/>
          <w:spacing w:val="-3"/>
        </w:rPr>
      </w:pPr>
      <w:r w:rsidRPr="001A0AE1">
        <w:rPr>
          <w:rFonts w:ascii="Arial" w:hAnsi="Arial" w:cs="Arial"/>
          <w:b/>
          <w:color w:val="000000"/>
          <w:lang w:eastAsia="es-MX"/>
        </w:rPr>
        <w:t>II.</w:t>
      </w:r>
      <w:r w:rsidR="003D04F5">
        <w:rPr>
          <w:rFonts w:ascii="Arial" w:hAnsi="Arial" w:cs="Arial"/>
          <w:b/>
          <w:color w:val="000000"/>
          <w:lang w:eastAsia="es-MX"/>
        </w:rPr>
        <w:t>-</w:t>
      </w:r>
      <w:r w:rsidRPr="001A0AE1">
        <w:rPr>
          <w:rFonts w:ascii="Arial" w:hAnsi="Arial" w:cs="Arial"/>
          <w:color w:val="000000"/>
          <w:lang w:eastAsia="es-MX"/>
        </w:rPr>
        <w:t xml:space="preserve"> Que conforme a lo establecido en la </w:t>
      </w:r>
      <w:r w:rsidRPr="006605B5">
        <w:rPr>
          <w:rFonts w:ascii="Arial" w:hAnsi="Arial" w:cs="Arial"/>
          <w:b/>
          <w:bCs/>
          <w:color w:val="000000"/>
          <w:lang w:eastAsia="es-MX"/>
        </w:rPr>
        <w:t>Constitución Política del Estado de Jalisco, en su artículo 77 reconoce e</w:t>
      </w:r>
      <w:r w:rsidRPr="006605B5">
        <w:rPr>
          <w:rFonts w:ascii="Arial" w:hAnsi="Arial" w:cs="Arial"/>
          <w:b/>
          <w:bCs/>
          <w:spacing w:val="-3"/>
        </w:rPr>
        <w:t>l municipio libre como base de la división territorial y de la organización política y administrativa del Estado de Jalisco</w:t>
      </w:r>
      <w:r w:rsidRPr="001A0AE1">
        <w:rPr>
          <w:rFonts w:ascii="Arial" w:hAnsi="Arial" w:cs="Arial"/>
          <w:spacing w:val="-3"/>
        </w:rPr>
        <w:t xml:space="preserve">, investido de personalidad jurídica y patrimonio propios, con las facultades y </w:t>
      </w:r>
      <w:r w:rsidR="00DC1E40" w:rsidRPr="001A0AE1">
        <w:rPr>
          <w:rFonts w:ascii="Arial" w:hAnsi="Arial" w:cs="Arial"/>
          <w:spacing w:val="-3"/>
        </w:rPr>
        <w:t>limitaciones establecidas</w:t>
      </w:r>
      <w:r w:rsidRPr="001A0AE1">
        <w:rPr>
          <w:rFonts w:ascii="Arial" w:hAnsi="Arial" w:cs="Arial"/>
          <w:spacing w:val="-3"/>
        </w:rPr>
        <w:t xml:space="preserve"> en la Constitución Política de los Estados Unidos Mexicanos.  </w:t>
      </w:r>
      <w:r w:rsidR="00DC1E40" w:rsidRPr="001A0AE1">
        <w:rPr>
          <w:rFonts w:ascii="Arial" w:hAnsi="Arial" w:cs="Arial"/>
          <w:spacing w:val="-3"/>
        </w:rPr>
        <w:t>Asimismo,</w:t>
      </w:r>
      <w:r w:rsidRPr="001A0AE1">
        <w:rPr>
          <w:rFonts w:ascii="Arial" w:hAnsi="Arial" w:cs="Arial"/>
          <w:spacing w:val="-3"/>
        </w:rPr>
        <w:t xml:space="preserve"> </w:t>
      </w:r>
      <w:r w:rsidRPr="001A0AE1">
        <w:rPr>
          <w:rFonts w:ascii="Arial" w:hAnsi="Arial" w:cs="Arial"/>
          <w:bCs/>
          <w:lang w:eastAsia="es-MX"/>
        </w:rPr>
        <w:t xml:space="preserve">en la Ley de Gobierno y la Administración Pública del Estado de Jalisco se </w:t>
      </w:r>
      <w:r w:rsidRPr="001A0AE1">
        <w:rPr>
          <w:rFonts w:ascii="Arial" w:hAnsi="Arial" w:cs="Arial"/>
          <w:snapToGrid w:val="0"/>
        </w:rPr>
        <w:t xml:space="preserve">establecen las bases generales de la Administración Pública Municipal. </w:t>
      </w:r>
    </w:p>
    <w:p w14:paraId="5166875B" w14:textId="77777777" w:rsidR="00C20F45" w:rsidRPr="001A0AE1" w:rsidRDefault="00C20F45" w:rsidP="00DB50B1">
      <w:pPr>
        <w:spacing w:line="360" w:lineRule="auto"/>
        <w:jc w:val="both"/>
        <w:rPr>
          <w:rFonts w:ascii="Arial" w:hAnsi="Arial" w:cs="Arial"/>
          <w:spacing w:val="-3"/>
        </w:rPr>
      </w:pPr>
    </w:p>
    <w:p w14:paraId="67332B13" w14:textId="15BAE4CD" w:rsidR="00DB50B1" w:rsidRPr="00DB50B1" w:rsidRDefault="00C20F45" w:rsidP="006605B5">
      <w:pPr>
        <w:spacing w:line="360" w:lineRule="auto"/>
        <w:ind w:firstLine="708"/>
        <w:jc w:val="both"/>
        <w:rPr>
          <w:rFonts w:ascii="Arial" w:hAnsi="Arial" w:cs="Arial"/>
        </w:rPr>
      </w:pPr>
      <w:r w:rsidRPr="00DB50B1">
        <w:rPr>
          <w:rFonts w:ascii="Arial" w:hAnsi="Arial" w:cs="Arial"/>
          <w:b/>
          <w:bCs/>
        </w:rPr>
        <w:t>III.</w:t>
      </w:r>
      <w:r w:rsidR="003D04F5" w:rsidRPr="00DB50B1">
        <w:rPr>
          <w:rFonts w:ascii="Arial" w:hAnsi="Arial" w:cs="Arial"/>
          <w:b/>
          <w:bCs/>
        </w:rPr>
        <w:t>-</w:t>
      </w:r>
      <w:r w:rsidR="00DB50B1" w:rsidRPr="00DB50B1">
        <w:rPr>
          <w:rFonts w:ascii="Arial" w:hAnsi="Arial" w:cs="Arial"/>
          <w:b/>
          <w:bCs/>
        </w:rPr>
        <w:t xml:space="preserve"> </w:t>
      </w:r>
      <w:r w:rsidR="00DB50B1" w:rsidRPr="00DB50B1">
        <w:rPr>
          <w:rFonts w:ascii="Arial" w:hAnsi="Arial" w:cs="Arial"/>
        </w:rPr>
        <w:t>En el municipio de Zapotlán el Grande</w:t>
      </w:r>
      <w:r w:rsidR="006605B5">
        <w:rPr>
          <w:rFonts w:ascii="Arial" w:hAnsi="Arial" w:cs="Arial"/>
        </w:rPr>
        <w:t>,</w:t>
      </w:r>
      <w:r w:rsidR="00DB50B1" w:rsidRPr="00DB50B1">
        <w:rPr>
          <w:rFonts w:ascii="Arial" w:hAnsi="Arial" w:cs="Arial"/>
        </w:rPr>
        <w:t xml:space="preserve"> existen múltiples vialidades, zonas escolares, áreas comerciales y espacios públicos donde </w:t>
      </w:r>
      <w:r w:rsidR="00DB50B1" w:rsidRPr="006605B5">
        <w:rPr>
          <w:rFonts w:ascii="Arial" w:hAnsi="Arial" w:cs="Arial"/>
          <w:b/>
          <w:bCs/>
        </w:rPr>
        <w:t>las banquetas son utilizadas indebidamente para estacionamiento vehicular, comercio informal, colocación de anuncios, materiales de construcción, objetos que impiden el tránsito peatonal.</w:t>
      </w:r>
      <w:r w:rsidR="00DB50B1" w:rsidRPr="00DB50B1">
        <w:rPr>
          <w:rFonts w:ascii="Arial" w:hAnsi="Arial" w:cs="Arial"/>
        </w:rPr>
        <w:t xml:space="preserve">  Esta situación afecta principalmente a personas con discapacidad, adultos mayores, estudiantes, madres y padres con carriolas y peatones en general. </w:t>
      </w:r>
      <w:r w:rsidR="006605B5">
        <w:rPr>
          <w:rFonts w:ascii="Arial" w:hAnsi="Arial" w:cs="Arial"/>
        </w:rPr>
        <w:t xml:space="preserve"> </w:t>
      </w:r>
      <w:r w:rsidR="00DB50B1" w:rsidRPr="00DB50B1">
        <w:rPr>
          <w:rFonts w:ascii="Arial" w:hAnsi="Arial" w:cs="Arial"/>
        </w:rPr>
        <w:t>Además, obliga a la ciudadanía a caminar sobre el arroyo vehicular, incrementando el riesgo de accidentes y vulnerando el derecho humano a una movilidad segura y accesible.</w:t>
      </w:r>
    </w:p>
    <w:p w14:paraId="6D0B9296" w14:textId="77777777" w:rsidR="006605B5" w:rsidRDefault="006605B5" w:rsidP="00DB50B1">
      <w:pPr>
        <w:spacing w:line="360" w:lineRule="auto"/>
        <w:ind w:firstLine="708"/>
        <w:jc w:val="both"/>
        <w:rPr>
          <w:rFonts w:ascii="Arial" w:hAnsi="Arial" w:cs="Arial"/>
          <w:b/>
          <w:bCs/>
        </w:rPr>
      </w:pPr>
    </w:p>
    <w:p w14:paraId="39F784BD" w14:textId="6C9B3CA1" w:rsidR="00DB50B1" w:rsidRPr="00DB50B1" w:rsidRDefault="00DB50B1" w:rsidP="006605B5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IV.- </w:t>
      </w:r>
      <w:r w:rsidRPr="00DB50B1">
        <w:rPr>
          <w:rFonts w:ascii="Arial" w:hAnsi="Arial" w:cs="Arial"/>
        </w:rPr>
        <w:t xml:space="preserve">La movilidad peatonal constituye uno de los derechos fundamentales de las personas y forma parte esencial del derecho a la ciudad, a la seguridad vial y a la accesibilidad universal. </w:t>
      </w:r>
      <w:r w:rsidRPr="006605B5">
        <w:rPr>
          <w:rFonts w:ascii="Arial" w:hAnsi="Arial" w:cs="Arial"/>
          <w:b/>
          <w:bCs/>
        </w:rPr>
        <w:t>Las banquetas son infraestructura pública destinada prioritariamente al tránsito seguro de peatones, personas adultas mayores, niñas, niños, personas con discapacidad y usuarios de movilidad asistida</w:t>
      </w:r>
      <w:r w:rsidRPr="00DB50B1">
        <w:rPr>
          <w:rFonts w:ascii="Arial" w:hAnsi="Arial" w:cs="Arial"/>
        </w:rPr>
        <w:t>.</w:t>
      </w:r>
      <w:r w:rsidR="006605B5">
        <w:rPr>
          <w:rFonts w:ascii="Arial" w:hAnsi="Arial" w:cs="Arial"/>
        </w:rPr>
        <w:t xml:space="preserve"> </w:t>
      </w:r>
      <w:r w:rsidRPr="00DB50B1">
        <w:rPr>
          <w:rFonts w:ascii="Arial" w:hAnsi="Arial" w:cs="Arial"/>
        </w:rPr>
        <w:t xml:space="preserve">Sin embargo, en diversas zonas del </w:t>
      </w:r>
      <w:r>
        <w:rPr>
          <w:rFonts w:ascii="Arial" w:hAnsi="Arial" w:cs="Arial"/>
        </w:rPr>
        <w:t>Municipio,</w:t>
      </w:r>
      <w:r w:rsidRPr="00DB50B1">
        <w:rPr>
          <w:rFonts w:ascii="Arial" w:hAnsi="Arial" w:cs="Arial"/>
        </w:rPr>
        <w:t xml:space="preserve"> persiste la invasión de banquetas por vehículos, mercancías, materiales de construcción, mobiliario privado, obstáculos comerciales y estructuras irregulares que limitan el libre tránsito</w:t>
      </w:r>
      <w:r>
        <w:rPr>
          <w:rFonts w:ascii="Arial" w:hAnsi="Arial" w:cs="Arial"/>
        </w:rPr>
        <w:t>, o en su defecto, la infraestructura de la banqueta se encuentra en mal estado</w:t>
      </w:r>
      <w:r w:rsidRPr="00DB50B1">
        <w:rPr>
          <w:rFonts w:ascii="Arial" w:hAnsi="Arial" w:cs="Arial"/>
        </w:rPr>
        <w:t xml:space="preserve"> y ponen en riesgo la integridad física de la población</w:t>
      </w:r>
      <w:r>
        <w:rPr>
          <w:rFonts w:ascii="Arial" w:hAnsi="Arial" w:cs="Arial"/>
        </w:rPr>
        <w:t xml:space="preserve">. </w:t>
      </w:r>
    </w:p>
    <w:p w14:paraId="1CF7320E" w14:textId="77777777" w:rsidR="006605B5" w:rsidRDefault="006605B5" w:rsidP="00DB50B1">
      <w:pPr>
        <w:spacing w:line="360" w:lineRule="auto"/>
        <w:jc w:val="both"/>
        <w:rPr>
          <w:rFonts w:ascii="Arial" w:hAnsi="Arial" w:cs="Arial"/>
        </w:rPr>
      </w:pPr>
    </w:p>
    <w:p w14:paraId="0CC311C2" w14:textId="1A71DB4F" w:rsidR="00DB50B1" w:rsidRDefault="00DB50B1" w:rsidP="00DB50B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 obstrucción o deterioro de las </w:t>
      </w:r>
      <w:r w:rsidRPr="00DB50B1">
        <w:rPr>
          <w:rFonts w:ascii="Arial" w:hAnsi="Arial" w:cs="Arial"/>
        </w:rPr>
        <w:t xml:space="preserve">banquetas </w:t>
      </w:r>
      <w:r>
        <w:rPr>
          <w:rFonts w:ascii="Arial" w:hAnsi="Arial" w:cs="Arial"/>
        </w:rPr>
        <w:t>ha generado r</w:t>
      </w:r>
      <w:r w:rsidRPr="00DB50B1">
        <w:rPr>
          <w:rFonts w:ascii="Arial" w:hAnsi="Arial" w:cs="Arial"/>
        </w:rPr>
        <w:t>iesgos de accidentes viales y atropellamientos</w:t>
      </w:r>
      <w:r>
        <w:rPr>
          <w:rFonts w:ascii="Arial" w:hAnsi="Arial" w:cs="Arial"/>
        </w:rPr>
        <w:t>, d</w:t>
      </w:r>
      <w:r w:rsidRPr="00DB50B1">
        <w:rPr>
          <w:rFonts w:ascii="Arial" w:hAnsi="Arial" w:cs="Arial"/>
        </w:rPr>
        <w:t>ificultades de movilidad para personas con discapacidad</w:t>
      </w:r>
      <w:r>
        <w:rPr>
          <w:rFonts w:ascii="Arial" w:hAnsi="Arial" w:cs="Arial"/>
        </w:rPr>
        <w:t>, i</w:t>
      </w:r>
      <w:r w:rsidRPr="00DB50B1">
        <w:rPr>
          <w:rFonts w:ascii="Arial" w:hAnsi="Arial" w:cs="Arial"/>
        </w:rPr>
        <w:t>nseguridad peatonal</w:t>
      </w:r>
      <w:r>
        <w:rPr>
          <w:rFonts w:ascii="Arial" w:hAnsi="Arial" w:cs="Arial"/>
        </w:rPr>
        <w:t>, d</w:t>
      </w:r>
      <w:r w:rsidRPr="00DB50B1">
        <w:rPr>
          <w:rFonts w:ascii="Arial" w:hAnsi="Arial" w:cs="Arial"/>
        </w:rPr>
        <w:t>eterioro del espacio público</w:t>
      </w:r>
      <w:r>
        <w:rPr>
          <w:rFonts w:ascii="Arial" w:hAnsi="Arial" w:cs="Arial"/>
        </w:rPr>
        <w:t>, r</w:t>
      </w:r>
      <w:r w:rsidRPr="00DB50B1">
        <w:rPr>
          <w:rFonts w:ascii="Arial" w:hAnsi="Arial" w:cs="Arial"/>
        </w:rPr>
        <w:t>educción de accesibilidad universal</w:t>
      </w:r>
      <w:r>
        <w:rPr>
          <w:rFonts w:ascii="Arial" w:hAnsi="Arial" w:cs="Arial"/>
        </w:rPr>
        <w:t>, c</w:t>
      </w:r>
      <w:r w:rsidRPr="00DB50B1">
        <w:rPr>
          <w:rFonts w:ascii="Arial" w:hAnsi="Arial" w:cs="Arial"/>
        </w:rPr>
        <w:t>onflictos de convivencia urbana</w:t>
      </w:r>
      <w:r>
        <w:rPr>
          <w:rFonts w:ascii="Arial" w:hAnsi="Arial" w:cs="Arial"/>
        </w:rPr>
        <w:t>, además de la p</w:t>
      </w:r>
      <w:r w:rsidRPr="00DB50B1">
        <w:rPr>
          <w:rFonts w:ascii="Arial" w:hAnsi="Arial" w:cs="Arial"/>
        </w:rPr>
        <w:t xml:space="preserve">ercepción </w:t>
      </w:r>
      <w:r>
        <w:rPr>
          <w:rFonts w:ascii="Arial" w:hAnsi="Arial" w:cs="Arial"/>
        </w:rPr>
        <w:t>abandono por la autoridad municipal.</w:t>
      </w:r>
    </w:p>
    <w:p w14:paraId="3250EDC0" w14:textId="77777777" w:rsidR="00862AFD" w:rsidRPr="002A53E5" w:rsidRDefault="00862AFD" w:rsidP="00DB50B1">
      <w:pPr>
        <w:spacing w:line="360" w:lineRule="auto"/>
        <w:jc w:val="both"/>
      </w:pPr>
    </w:p>
    <w:p w14:paraId="4267ACF9" w14:textId="42C2108C" w:rsidR="001173CE" w:rsidRPr="001173CE" w:rsidRDefault="001173CE" w:rsidP="001173CE">
      <w:pPr>
        <w:spacing w:line="360" w:lineRule="auto"/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V.- </w:t>
      </w:r>
      <w:r w:rsidRPr="001173CE">
        <w:rPr>
          <w:rFonts w:ascii="Arial" w:hAnsi="Arial" w:cs="Arial"/>
        </w:rPr>
        <w:t>La Ley de Movilidad</w:t>
      </w:r>
      <w:r w:rsidR="00862AFD" w:rsidRPr="00862AFD">
        <w:rPr>
          <w:rFonts w:ascii="Arial" w:hAnsi="Arial" w:cs="Arial"/>
        </w:rPr>
        <w:t xml:space="preserve">, Seguridad Vial y Transporte del Estado de Jalisco, </w:t>
      </w:r>
      <w:r w:rsidRPr="001173CE">
        <w:rPr>
          <w:rFonts w:ascii="Arial" w:hAnsi="Arial" w:cs="Arial"/>
        </w:rPr>
        <w:t>establece que</w:t>
      </w:r>
      <w:r w:rsidR="00CE5A3B" w:rsidRPr="00862AFD">
        <w:rPr>
          <w:rFonts w:ascii="Arial" w:hAnsi="Arial" w:cs="Arial"/>
        </w:rPr>
        <w:t xml:space="preserve"> l</w:t>
      </w:r>
      <w:r w:rsidRPr="001173CE">
        <w:rPr>
          <w:rFonts w:ascii="Arial" w:hAnsi="Arial" w:cs="Arial"/>
        </w:rPr>
        <w:t xml:space="preserve">a </w:t>
      </w:r>
      <w:r w:rsidRPr="001173CE">
        <w:rPr>
          <w:rFonts w:ascii="Arial" w:hAnsi="Arial" w:cs="Arial"/>
          <w:b/>
          <w:bCs/>
        </w:rPr>
        <w:t>construcción de infraestructura vial deberá considerar espacios de calidad, accesibles y seguros</w:t>
      </w:r>
      <w:r w:rsidR="00862AFD" w:rsidRPr="006A58F1">
        <w:rPr>
          <w:rFonts w:ascii="Arial" w:hAnsi="Arial" w:cs="Arial"/>
          <w:b/>
          <w:bCs/>
        </w:rPr>
        <w:t>, a</w:t>
      </w:r>
      <w:r w:rsidRPr="001173CE">
        <w:rPr>
          <w:rFonts w:ascii="Arial" w:hAnsi="Arial" w:cs="Arial"/>
          <w:b/>
          <w:bCs/>
        </w:rPr>
        <w:t>demás</w:t>
      </w:r>
      <w:r w:rsidRPr="001173CE">
        <w:rPr>
          <w:rFonts w:ascii="Arial" w:hAnsi="Arial" w:cs="Arial"/>
        </w:rPr>
        <w:t>, el Código Urbano</w:t>
      </w:r>
      <w:r w:rsidR="006A58F1">
        <w:rPr>
          <w:rFonts w:ascii="Arial" w:hAnsi="Arial" w:cs="Arial"/>
        </w:rPr>
        <w:t xml:space="preserve"> del Estado de Jalisco,</w:t>
      </w:r>
      <w:r w:rsidRPr="001173CE">
        <w:rPr>
          <w:rFonts w:ascii="Arial" w:hAnsi="Arial" w:cs="Arial"/>
        </w:rPr>
        <w:t xml:space="preserve"> obliga a incorporar</w:t>
      </w:r>
      <w:r w:rsidR="00862AFD" w:rsidRPr="00862AFD">
        <w:rPr>
          <w:rFonts w:ascii="Arial" w:hAnsi="Arial" w:cs="Arial"/>
        </w:rPr>
        <w:t xml:space="preserve"> </w:t>
      </w:r>
      <w:r w:rsidRPr="001173CE">
        <w:rPr>
          <w:rFonts w:ascii="Arial" w:hAnsi="Arial" w:cs="Arial"/>
        </w:rPr>
        <w:t>criterios de diseño para obras de urbanización que faciliten el movimiento y la accesibilidad de personas con discapacidad</w:t>
      </w:r>
      <w:r w:rsidR="00862AFD" w:rsidRPr="00862AFD">
        <w:rPr>
          <w:rFonts w:ascii="Arial" w:hAnsi="Arial" w:cs="Arial"/>
        </w:rPr>
        <w:t>, esto implica: r</w:t>
      </w:r>
      <w:r w:rsidRPr="001173CE">
        <w:rPr>
          <w:rFonts w:ascii="Arial" w:hAnsi="Arial" w:cs="Arial"/>
        </w:rPr>
        <w:t>ampas accesibles</w:t>
      </w:r>
      <w:r w:rsidR="00862AFD" w:rsidRPr="00862AFD">
        <w:rPr>
          <w:rFonts w:ascii="Arial" w:hAnsi="Arial" w:cs="Arial"/>
        </w:rPr>
        <w:t>, s</w:t>
      </w:r>
      <w:r w:rsidRPr="001173CE">
        <w:rPr>
          <w:rFonts w:ascii="Arial" w:hAnsi="Arial" w:cs="Arial"/>
        </w:rPr>
        <w:t>uperficie</w:t>
      </w:r>
      <w:r w:rsidR="00862AFD" w:rsidRPr="00862AFD">
        <w:rPr>
          <w:rFonts w:ascii="Arial" w:hAnsi="Arial" w:cs="Arial"/>
        </w:rPr>
        <w:t>s</w:t>
      </w:r>
      <w:r w:rsidRPr="001173CE">
        <w:rPr>
          <w:rFonts w:ascii="Arial" w:hAnsi="Arial" w:cs="Arial"/>
        </w:rPr>
        <w:t xml:space="preserve"> continua</w:t>
      </w:r>
      <w:r w:rsidR="00862AFD" w:rsidRPr="00862AFD">
        <w:rPr>
          <w:rFonts w:ascii="Arial" w:hAnsi="Arial" w:cs="Arial"/>
        </w:rPr>
        <w:t>s, e</w:t>
      </w:r>
      <w:r w:rsidRPr="001173CE">
        <w:rPr>
          <w:rFonts w:ascii="Arial" w:hAnsi="Arial" w:cs="Arial"/>
        </w:rPr>
        <w:t>liminación de obstáculos</w:t>
      </w:r>
      <w:r w:rsidR="00862AFD" w:rsidRPr="00862AFD">
        <w:rPr>
          <w:rFonts w:ascii="Arial" w:hAnsi="Arial" w:cs="Arial"/>
        </w:rPr>
        <w:t>, e</w:t>
      </w:r>
      <w:r w:rsidRPr="001173CE">
        <w:rPr>
          <w:rFonts w:ascii="Arial" w:hAnsi="Arial" w:cs="Arial"/>
        </w:rPr>
        <w:t>spacios suficientes para sillas de ruedas</w:t>
      </w:r>
      <w:r w:rsidR="00862AFD" w:rsidRPr="00862AFD">
        <w:rPr>
          <w:rFonts w:ascii="Arial" w:hAnsi="Arial" w:cs="Arial"/>
        </w:rPr>
        <w:t>, d</w:t>
      </w:r>
      <w:r w:rsidRPr="001173CE">
        <w:rPr>
          <w:rFonts w:ascii="Arial" w:hAnsi="Arial" w:cs="Arial"/>
        </w:rPr>
        <w:t>iseño urbano universal</w:t>
      </w:r>
      <w:r w:rsidR="00862AFD" w:rsidRPr="00862AFD">
        <w:rPr>
          <w:rFonts w:ascii="Arial" w:hAnsi="Arial" w:cs="Arial"/>
        </w:rPr>
        <w:t>, s</w:t>
      </w:r>
      <w:r w:rsidRPr="001173CE">
        <w:rPr>
          <w:rFonts w:ascii="Arial" w:hAnsi="Arial" w:cs="Arial"/>
        </w:rPr>
        <w:t>eguridad peatonal</w:t>
      </w:r>
      <w:r w:rsidR="00862AFD" w:rsidRPr="00862AFD">
        <w:rPr>
          <w:rFonts w:ascii="Arial" w:hAnsi="Arial" w:cs="Arial"/>
        </w:rPr>
        <w:t>,</w:t>
      </w:r>
      <w:r w:rsidR="00F66F6A">
        <w:rPr>
          <w:rFonts w:ascii="Arial" w:hAnsi="Arial" w:cs="Arial"/>
        </w:rPr>
        <w:t xml:space="preserve"> es decir,</w:t>
      </w:r>
      <w:r w:rsidR="00862AFD" w:rsidRPr="00862AFD">
        <w:rPr>
          <w:rFonts w:ascii="Arial" w:hAnsi="Arial" w:cs="Arial"/>
        </w:rPr>
        <w:t xml:space="preserve"> </w:t>
      </w:r>
      <w:r w:rsidR="00862AFD" w:rsidRPr="006A58F1">
        <w:rPr>
          <w:rFonts w:ascii="Arial" w:hAnsi="Arial" w:cs="Arial"/>
          <w:b/>
          <w:bCs/>
        </w:rPr>
        <w:t>l</w:t>
      </w:r>
      <w:r w:rsidRPr="001173CE">
        <w:rPr>
          <w:rFonts w:ascii="Arial" w:hAnsi="Arial" w:cs="Arial"/>
          <w:b/>
          <w:bCs/>
        </w:rPr>
        <w:t>as banquetas deben garantizar tránsito seguro y prevenir accidentes.</w:t>
      </w:r>
    </w:p>
    <w:p w14:paraId="3731CF21" w14:textId="77777777" w:rsidR="00862AFD" w:rsidRPr="00F66F6A" w:rsidRDefault="00862AFD" w:rsidP="001173CE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79B13407" w14:textId="5A19FC38" w:rsidR="00F66F6A" w:rsidRPr="001A0AE1" w:rsidRDefault="00F66F6A" w:rsidP="006A58F1">
      <w:pPr>
        <w:tabs>
          <w:tab w:val="num" w:pos="720"/>
        </w:tabs>
        <w:spacing w:line="36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F66F6A">
        <w:rPr>
          <w:rFonts w:ascii="Arial" w:hAnsi="Arial" w:cs="Arial"/>
          <w:b/>
          <w:bCs/>
        </w:rPr>
        <w:t>VI.-</w:t>
      </w:r>
      <w:r w:rsidRPr="00F66F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la continuidad de </w:t>
      </w:r>
      <w:r w:rsidRPr="001A0AE1">
        <w:rPr>
          <w:rFonts w:ascii="Arial" w:hAnsi="Arial" w:cs="Arial"/>
        </w:rPr>
        <w:t xml:space="preserve">las </w:t>
      </w:r>
      <w:r w:rsidRPr="00F66F6A">
        <w:rPr>
          <w:rFonts w:ascii="Arial" w:hAnsi="Arial" w:cs="Arial"/>
          <w:b/>
          <w:bCs/>
        </w:rPr>
        <w:t>atribuciones de los ayuntamientos comprendidas en el artículo 61 de La Ley de Movilidad, Seguridad Vial y Transporte del Estado de Jalisco, se establece que las autoridades municipales deberán garantizar condiciones adecuadas de infraestructura</w:t>
      </w:r>
      <w:r w:rsidRPr="001A0AE1">
        <w:rPr>
          <w:rFonts w:ascii="Arial" w:hAnsi="Arial" w:cs="Arial"/>
        </w:rPr>
        <w:t xml:space="preserve"> para prevenir accidentes, incluyendo señalización, dispositivos de control y mantenimiento vial a través de </w:t>
      </w:r>
      <w:r w:rsidRPr="001A0AE1">
        <w:rPr>
          <w:rFonts w:ascii="Arial" w:eastAsia="Times New Roman" w:hAnsi="Arial" w:cs="Arial"/>
        </w:rPr>
        <w:t>los estudios necesarios en materia de movilidad y seguridad vial para conservar y mejorar los servicios de infraestructura vial y transporte, garantizando que las vías proporcionen un nivel de servicio adecuado para todas las personas, considerando su interseccionalidad, sin importar el modo de transporte que utilicen.</w:t>
      </w:r>
    </w:p>
    <w:p w14:paraId="4BDD090E" w14:textId="77777777" w:rsidR="00F66F6A" w:rsidRDefault="00F66F6A" w:rsidP="001173CE">
      <w:pPr>
        <w:spacing w:line="360" w:lineRule="auto"/>
        <w:ind w:firstLine="708"/>
        <w:jc w:val="both"/>
        <w:rPr>
          <w:rFonts w:ascii="Arial" w:hAnsi="Arial" w:cs="Arial"/>
          <w:b/>
          <w:bCs/>
        </w:rPr>
      </w:pPr>
    </w:p>
    <w:p w14:paraId="0E5A91BE" w14:textId="77777777" w:rsidR="006A58F1" w:rsidRDefault="006A58F1" w:rsidP="00F66F6A">
      <w:pPr>
        <w:tabs>
          <w:tab w:val="num" w:pos="720"/>
        </w:tabs>
        <w:spacing w:line="360" w:lineRule="auto"/>
        <w:ind w:firstLine="708"/>
        <w:jc w:val="both"/>
        <w:rPr>
          <w:rFonts w:ascii="Arial" w:hAnsi="Arial" w:cs="Arial"/>
          <w:b/>
          <w:bCs/>
        </w:rPr>
      </w:pPr>
    </w:p>
    <w:p w14:paraId="4C8CA4E9" w14:textId="31EDE442" w:rsidR="001173CE" w:rsidRPr="001173CE" w:rsidRDefault="00F66F6A" w:rsidP="00F66F6A">
      <w:pPr>
        <w:tabs>
          <w:tab w:val="num" w:pos="720"/>
        </w:tabs>
        <w:spacing w:line="360" w:lineRule="auto"/>
        <w:ind w:firstLine="708"/>
        <w:jc w:val="both"/>
        <w:rPr>
          <w:rFonts w:ascii="Arial" w:hAnsi="Arial" w:cs="Arial"/>
        </w:rPr>
      </w:pPr>
      <w:r w:rsidRPr="00F66F6A">
        <w:rPr>
          <w:rFonts w:ascii="Arial" w:hAnsi="Arial" w:cs="Arial"/>
          <w:b/>
          <w:bCs/>
        </w:rPr>
        <w:t>VII.-</w:t>
      </w:r>
      <w:r w:rsidRPr="00F66F6A">
        <w:rPr>
          <w:rFonts w:ascii="Arial" w:hAnsi="Arial" w:cs="Arial"/>
        </w:rPr>
        <w:t xml:space="preserve"> </w:t>
      </w:r>
      <w:r w:rsidRPr="001173CE">
        <w:rPr>
          <w:rFonts w:ascii="Arial" w:hAnsi="Arial" w:cs="Arial"/>
        </w:rPr>
        <w:t xml:space="preserve">La Ley de Movilidad dispone </w:t>
      </w:r>
      <w:r w:rsidRPr="00F66F6A">
        <w:rPr>
          <w:rFonts w:ascii="Arial" w:hAnsi="Arial" w:cs="Arial"/>
        </w:rPr>
        <w:t xml:space="preserve">también, que deben de existir aceras pavimentadas, reservadas para el </w:t>
      </w:r>
      <w:r w:rsidRPr="001173CE">
        <w:rPr>
          <w:rFonts w:ascii="Arial" w:hAnsi="Arial" w:cs="Arial"/>
        </w:rPr>
        <w:t>tránsito de personas peatonas</w:t>
      </w:r>
      <w:r w:rsidRPr="00F66F6A">
        <w:rPr>
          <w:rFonts w:ascii="Arial" w:hAnsi="Arial" w:cs="Arial"/>
        </w:rPr>
        <w:t>, d</w:t>
      </w:r>
      <w:r w:rsidRPr="001173CE">
        <w:rPr>
          <w:rFonts w:ascii="Arial" w:hAnsi="Arial" w:cs="Arial"/>
        </w:rPr>
        <w:t>eben contar con iluminación segura</w:t>
      </w:r>
      <w:r w:rsidRPr="00F66F6A">
        <w:rPr>
          <w:rFonts w:ascii="Arial" w:hAnsi="Arial" w:cs="Arial"/>
        </w:rPr>
        <w:t>, l</w:t>
      </w:r>
      <w:r w:rsidRPr="001173CE">
        <w:rPr>
          <w:rFonts w:ascii="Arial" w:hAnsi="Arial" w:cs="Arial"/>
        </w:rPr>
        <w:t>os cruces peatonales deben ser seguros y visibles. Asimismo, el artículo 155 obliga a prevenir lesiones y siniestros viales mediante infraestructura adecuada.</w:t>
      </w:r>
      <w:r w:rsidRPr="001173C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Se concluye</w:t>
      </w:r>
      <w:r w:rsidRPr="00F66F6A">
        <w:rPr>
          <w:rFonts w:ascii="Arial" w:hAnsi="Arial" w:cs="Arial"/>
        </w:rPr>
        <w:t xml:space="preserve"> que en las banquetas n</w:t>
      </w:r>
      <w:r w:rsidR="001173CE" w:rsidRPr="001173CE">
        <w:rPr>
          <w:rFonts w:ascii="Arial" w:hAnsi="Arial" w:cs="Arial"/>
        </w:rPr>
        <w:t>o deben existir postes, anuncios o comercio que bloqueen el paso</w:t>
      </w:r>
      <w:r w:rsidRPr="00F66F6A">
        <w:rPr>
          <w:rFonts w:ascii="Arial" w:hAnsi="Arial" w:cs="Arial"/>
        </w:rPr>
        <w:t xml:space="preserve">, debe </w:t>
      </w:r>
      <w:r w:rsidR="001173CE" w:rsidRPr="001173CE">
        <w:rPr>
          <w:rFonts w:ascii="Arial" w:hAnsi="Arial" w:cs="Arial"/>
        </w:rPr>
        <w:t>existir continuidad peatonal</w:t>
      </w:r>
      <w:r w:rsidRPr="00F66F6A">
        <w:rPr>
          <w:rFonts w:ascii="Arial" w:hAnsi="Arial" w:cs="Arial"/>
        </w:rPr>
        <w:t>, n</w:t>
      </w:r>
      <w:r w:rsidR="001173CE" w:rsidRPr="001173CE">
        <w:rPr>
          <w:rFonts w:ascii="Arial" w:hAnsi="Arial" w:cs="Arial"/>
        </w:rPr>
        <w:t>o deben presentar hundimientos, grietas o desniveles peligrosos</w:t>
      </w:r>
      <w:r w:rsidRPr="00F66F6A">
        <w:rPr>
          <w:rFonts w:ascii="Arial" w:hAnsi="Arial" w:cs="Arial"/>
        </w:rPr>
        <w:t xml:space="preserve"> y se debe continuar con la conservación y mantenimiento por parte de las autoridades municipales. </w:t>
      </w:r>
      <w:r w:rsidR="001173CE" w:rsidRPr="001173CE">
        <w:rPr>
          <w:rFonts w:ascii="Arial" w:hAnsi="Arial" w:cs="Arial"/>
          <w:b/>
          <w:bCs/>
        </w:rPr>
        <w:t xml:space="preserve">Una banqueta </w:t>
      </w:r>
      <w:r w:rsidRPr="006605B5">
        <w:rPr>
          <w:rFonts w:ascii="Arial" w:hAnsi="Arial" w:cs="Arial"/>
          <w:b/>
          <w:bCs/>
        </w:rPr>
        <w:t>adecuada debe ser c</w:t>
      </w:r>
      <w:r w:rsidR="001173CE" w:rsidRPr="001173CE">
        <w:rPr>
          <w:rFonts w:ascii="Arial" w:hAnsi="Arial" w:cs="Arial"/>
          <w:b/>
          <w:bCs/>
        </w:rPr>
        <w:t xml:space="preserve">ontinua, </w:t>
      </w:r>
      <w:r w:rsidRPr="006605B5">
        <w:rPr>
          <w:rFonts w:ascii="Arial" w:hAnsi="Arial" w:cs="Arial"/>
          <w:b/>
          <w:bCs/>
        </w:rPr>
        <w:t>p</w:t>
      </w:r>
      <w:r w:rsidR="001173CE" w:rsidRPr="001173CE">
        <w:rPr>
          <w:rFonts w:ascii="Arial" w:hAnsi="Arial" w:cs="Arial"/>
          <w:b/>
          <w:bCs/>
        </w:rPr>
        <w:t xml:space="preserve">avimentada, </w:t>
      </w:r>
      <w:r w:rsidRPr="006605B5">
        <w:rPr>
          <w:rFonts w:ascii="Arial" w:hAnsi="Arial" w:cs="Arial"/>
          <w:b/>
          <w:bCs/>
        </w:rPr>
        <w:t>a</w:t>
      </w:r>
      <w:r w:rsidR="001173CE" w:rsidRPr="001173CE">
        <w:rPr>
          <w:rFonts w:ascii="Arial" w:hAnsi="Arial" w:cs="Arial"/>
          <w:b/>
          <w:bCs/>
        </w:rPr>
        <w:t xml:space="preserve">ccesible, </w:t>
      </w:r>
      <w:r w:rsidRPr="006605B5">
        <w:rPr>
          <w:rFonts w:ascii="Arial" w:hAnsi="Arial" w:cs="Arial"/>
          <w:b/>
          <w:bCs/>
        </w:rPr>
        <w:t>s</w:t>
      </w:r>
      <w:r w:rsidR="001173CE" w:rsidRPr="001173CE">
        <w:rPr>
          <w:rFonts w:ascii="Arial" w:hAnsi="Arial" w:cs="Arial"/>
          <w:b/>
          <w:bCs/>
        </w:rPr>
        <w:t xml:space="preserve">egura, </w:t>
      </w:r>
      <w:r w:rsidRPr="006605B5">
        <w:rPr>
          <w:rFonts w:ascii="Arial" w:hAnsi="Arial" w:cs="Arial"/>
          <w:b/>
          <w:bCs/>
        </w:rPr>
        <w:t>l</w:t>
      </w:r>
      <w:r w:rsidR="001173CE" w:rsidRPr="001173CE">
        <w:rPr>
          <w:rFonts w:ascii="Arial" w:hAnsi="Arial" w:cs="Arial"/>
          <w:b/>
          <w:bCs/>
        </w:rPr>
        <w:t xml:space="preserve">ibre de obstáculos, </w:t>
      </w:r>
      <w:r w:rsidRPr="00F66F6A">
        <w:rPr>
          <w:rFonts w:ascii="Arial" w:hAnsi="Arial" w:cs="Arial"/>
          <w:b/>
          <w:bCs/>
        </w:rPr>
        <w:t>i</w:t>
      </w:r>
      <w:r w:rsidR="001173CE" w:rsidRPr="001173CE">
        <w:rPr>
          <w:rFonts w:ascii="Arial" w:hAnsi="Arial" w:cs="Arial"/>
          <w:b/>
          <w:bCs/>
        </w:rPr>
        <w:t>luminada</w:t>
      </w:r>
      <w:r w:rsidRPr="00F66F6A">
        <w:rPr>
          <w:rFonts w:ascii="Arial" w:hAnsi="Arial" w:cs="Arial"/>
          <w:b/>
          <w:bCs/>
        </w:rPr>
        <w:t xml:space="preserve"> e i</w:t>
      </w:r>
      <w:r w:rsidR="001173CE" w:rsidRPr="001173CE">
        <w:rPr>
          <w:rFonts w:ascii="Arial" w:hAnsi="Arial" w:cs="Arial"/>
          <w:b/>
          <w:bCs/>
        </w:rPr>
        <w:t>ncluyente</w:t>
      </w:r>
      <w:r w:rsidRPr="00F66F6A">
        <w:rPr>
          <w:rFonts w:ascii="Arial" w:hAnsi="Arial" w:cs="Arial"/>
          <w:b/>
          <w:bCs/>
        </w:rPr>
        <w:t>.</w:t>
      </w:r>
    </w:p>
    <w:p w14:paraId="029734A1" w14:textId="77777777" w:rsidR="00F66F6A" w:rsidRDefault="00F66F6A" w:rsidP="003D04F5">
      <w:pPr>
        <w:spacing w:line="360" w:lineRule="auto"/>
        <w:ind w:firstLine="708"/>
        <w:jc w:val="both"/>
        <w:rPr>
          <w:rFonts w:ascii="Arial" w:hAnsi="Arial" w:cs="Arial"/>
          <w:b/>
          <w:bCs/>
        </w:rPr>
      </w:pPr>
    </w:p>
    <w:p w14:paraId="5B5A16C6" w14:textId="154CC50E" w:rsidR="006A58F1" w:rsidRDefault="001A0AE1" w:rsidP="006A58F1">
      <w:pPr>
        <w:spacing w:line="360" w:lineRule="auto"/>
        <w:ind w:firstLine="708"/>
        <w:jc w:val="both"/>
        <w:rPr>
          <w:rFonts w:ascii="Arial" w:hAnsi="Arial" w:cs="Arial"/>
        </w:rPr>
      </w:pPr>
      <w:r w:rsidRPr="001A0AE1"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</w:rPr>
        <w:t>I</w:t>
      </w:r>
      <w:r w:rsidRPr="001A0AE1">
        <w:rPr>
          <w:rFonts w:ascii="Arial" w:hAnsi="Arial" w:cs="Arial"/>
          <w:b/>
          <w:bCs/>
        </w:rPr>
        <w:t>II.</w:t>
      </w:r>
      <w:r w:rsidRPr="001A0AE1">
        <w:rPr>
          <w:rFonts w:ascii="Arial" w:hAnsi="Arial" w:cs="Arial"/>
        </w:rPr>
        <w:t xml:space="preserve"> </w:t>
      </w:r>
      <w:r w:rsidR="006605B5" w:rsidRPr="006605B5">
        <w:rPr>
          <w:rFonts w:ascii="Arial" w:hAnsi="Arial" w:cs="Arial"/>
        </w:rPr>
        <w:t xml:space="preserve">En este tenor, </w:t>
      </w:r>
      <w:r w:rsidR="006605B5" w:rsidRPr="006A58F1">
        <w:rPr>
          <w:rFonts w:ascii="Arial" w:hAnsi="Arial" w:cs="Arial"/>
          <w:b/>
          <w:bCs/>
        </w:rPr>
        <w:t>se propone que el Gobierno Municipal, realice acciones para resolver esta problemática planteada, estas acciones pueden ir encaminadas a rehabilitación de banquetas</w:t>
      </w:r>
      <w:r w:rsidR="006605B5" w:rsidRPr="006605B5">
        <w:rPr>
          <w:rFonts w:ascii="Arial" w:hAnsi="Arial" w:cs="Arial"/>
        </w:rPr>
        <w:t xml:space="preserve">, </w:t>
      </w:r>
      <w:r w:rsidR="006A58F1">
        <w:rPr>
          <w:rFonts w:ascii="Arial" w:hAnsi="Arial" w:cs="Arial"/>
        </w:rPr>
        <w:t xml:space="preserve">como </w:t>
      </w:r>
      <w:r w:rsidR="006605B5" w:rsidRPr="006605B5">
        <w:rPr>
          <w:rFonts w:ascii="Arial" w:hAnsi="Arial" w:cs="Arial"/>
        </w:rPr>
        <w:t>retirar vehículos estacionados u otros objetos colocados sobre banquetas, implementa acciones preventivas, educativas y sancionatorias, promover la cultura vial y accesibilidad universal, fortalecer la seguridad peatonal y urbana, integrar componentes de educación vial y sensibilización sobre discapacidad, colocar infraestructura complementaria como pasos peatonales, bolardos, iluminación adecuada, implementar cruceros seguros, señalética.</w:t>
      </w:r>
      <w:r w:rsidR="006A58F1">
        <w:rPr>
          <w:rFonts w:ascii="Arial" w:hAnsi="Arial" w:cs="Arial"/>
        </w:rPr>
        <w:t xml:space="preserve"> </w:t>
      </w:r>
    </w:p>
    <w:p w14:paraId="27379C8F" w14:textId="682E82BA" w:rsidR="00EC5106" w:rsidRPr="001A0AE1" w:rsidRDefault="001A0AE1" w:rsidP="006A58F1">
      <w:pPr>
        <w:spacing w:line="360" w:lineRule="auto"/>
        <w:ind w:firstLine="708"/>
        <w:jc w:val="both"/>
        <w:rPr>
          <w:rFonts w:ascii="Arial" w:hAnsi="Arial" w:cs="Arial"/>
        </w:rPr>
      </w:pPr>
      <w:r w:rsidRPr="008B3759">
        <w:rPr>
          <w:rFonts w:ascii="Arial" w:hAnsi="Arial" w:cs="Arial"/>
        </w:rPr>
        <w:t xml:space="preserve">Derivado de esto, y a fin de salvaguardar la integridad de las personas que transitan diariamente por la ciudad, se considera urgente implementar acciones correctivas en materia de </w:t>
      </w:r>
      <w:r w:rsidR="006605B5">
        <w:rPr>
          <w:rFonts w:ascii="Arial" w:hAnsi="Arial" w:cs="Arial"/>
        </w:rPr>
        <w:t>mantenimiento de infraestructura</w:t>
      </w:r>
      <w:r w:rsidR="00EC5106" w:rsidRPr="008B3759">
        <w:rPr>
          <w:rFonts w:ascii="Arial" w:hAnsi="Arial" w:cs="Arial"/>
        </w:rPr>
        <w:t>,</w:t>
      </w:r>
      <w:r w:rsidR="00EC5106" w:rsidRPr="001A0AE1">
        <w:rPr>
          <w:rFonts w:ascii="Arial" w:hAnsi="Arial" w:cs="Arial"/>
        </w:rPr>
        <w:t xml:space="preserve"> y con fundamento en los artículos señalados, sometemos a consideración del Pleno del Ayuntamiento</w:t>
      </w:r>
      <w:r w:rsidRPr="001A0AE1">
        <w:rPr>
          <w:rFonts w:ascii="Arial" w:hAnsi="Arial" w:cs="Arial"/>
        </w:rPr>
        <w:t xml:space="preserve">, </w:t>
      </w:r>
      <w:r w:rsidR="00EC5106" w:rsidRPr="001A0AE1">
        <w:rPr>
          <w:rFonts w:ascii="Arial" w:hAnsi="Arial" w:cs="Arial"/>
        </w:rPr>
        <w:t>el siguiente:</w:t>
      </w:r>
    </w:p>
    <w:p w14:paraId="1EF1105B" w14:textId="77777777" w:rsidR="00974A0D" w:rsidRDefault="00974A0D" w:rsidP="003D04F5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4D55FBA" w14:textId="77777777" w:rsidR="006A58F1" w:rsidRDefault="006A58F1" w:rsidP="003D04F5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34148757" w14:textId="77777777" w:rsidR="006A58F1" w:rsidRDefault="006A58F1" w:rsidP="003D04F5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EDB2A48" w14:textId="77777777" w:rsidR="006A58F1" w:rsidRDefault="006A58F1" w:rsidP="003D04F5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8776FA5" w14:textId="0D84139C" w:rsidR="00EC5106" w:rsidRPr="001A0AE1" w:rsidRDefault="00EC5106" w:rsidP="003D04F5">
      <w:pPr>
        <w:spacing w:line="360" w:lineRule="auto"/>
        <w:jc w:val="center"/>
        <w:rPr>
          <w:rFonts w:ascii="Arial" w:hAnsi="Arial" w:cs="Arial"/>
          <w:b/>
          <w:bCs/>
        </w:rPr>
      </w:pPr>
      <w:r w:rsidRPr="001A0AE1">
        <w:rPr>
          <w:rFonts w:ascii="Arial" w:hAnsi="Arial" w:cs="Arial"/>
          <w:b/>
          <w:bCs/>
        </w:rPr>
        <w:t>A C U E R D O</w:t>
      </w:r>
    </w:p>
    <w:p w14:paraId="1CD82FD4" w14:textId="4B8B0CE0" w:rsidR="003D04F5" w:rsidRPr="00DB608C" w:rsidRDefault="00AA4611" w:rsidP="003D04F5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A0AE1">
        <w:rPr>
          <w:rFonts w:ascii="Arial" w:hAnsi="Arial" w:cs="Arial"/>
          <w:b/>
          <w:bCs/>
        </w:rPr>
        <w:t>ÚNICO:</w:t>
      </w:r>
      <w:r w:rsidRPr="001A0AE1">
        <w:rPr>
          <w:rFonts w:ascii="Arial" w:hAnsi="Arial" w:cs="Arial"/>
        </w:rPr>
        <w:t xml:space="preserve"> Se turne a la </w:t>
      </w:r>
      <w:r w:rsidR="006A58F1">
        <w:rPr>
          <w:rFonts w:ascii="Arial" w:hAnsi="Arial" w:cs="Arial"/>
        </w:rPr>
        <w:t>Comisi</w:t>
      </w:r>
      <w:r w:rsidR="00D66E57">
        <w:rPr>
          <w:rFonts w:ascii="Arial" w:hAnsi="Arial" w:cs="Arial"/>
        </w:rPr>
        <w:t>ón</w:t>
      </w:r>
      <w:r w:rsidRPr="001A0AE1">
        <w:rPr>
          <w:rFonts w:ascii="Arial" w:hAnsi="Arial" w:cs="Arial"/>
        </w:rPr>
        <w:t xml:space="preserve"> Edilicia</w:t>
      </w:r>
      <w:r w:rsidR="003D04F5">
        <w:rPr>
          <w:rFonts w:ascii="Arial" w:hAnsi="Arial" w:cs="Arial"/>
        </w:rPr>
        <w:t xml:space="preserve"> de Tránsito y Protección </w:t>
      </w:r>
      <w:r w:rsidR="006A58F1">
        <w:rPr>
          <w:rFonts w:ascii="Arial" w:hAnsi="Arial" w:cs="Arial"/>
        </w:rPr>
        <w:t xml:space="preserve">Civil, para </w:t>
      </w:r>
      <w:r w:rsidR="003D04F5">
        <w:rPr>
          <w:rFonts w:ascii="Arial" w:hAnsi="Arial" w:cs="Arial"/>
        </w:rPr>
        <w:t xml:space="preserve">el estudio de la presente iniciativa, solicitando la intervención oportuna de las áreas competentes para la implementación </w:t>
      </w:r>
      <w:r w:rsidR="006605B5">
        <w:rPr>
          <w:rFonts w:ascii="Arial" w:hAnsi="Arial" w:cs="Arial"/>
        </w:rPr>
        <w:t>del programa de banquetas libres y seguras, tal como lo expone</w:t>
      </w:r>
      <w:r w:rsidR="003D04F5">
        <w:rPr>
          <w:rFonts w:ascii="Arial" w:hAnsi="Arial" w:cs="Arial"/>
        </w:rPr>
        <w:t xml:space="preserve"> en los puntos mencionados en </w:t>
      </w:r>
      <w:r w:rsidR="008B3759">
        <w:rPr>
          <w:rFonts w:ascii="Arial" w:hAnsi="Arial" w:cs="Arial"/>
        </w:rPr>
        <w:t>supralíneas</w:t>
      </w:r>
      <w:r w:rsidR="003D04F5">
        <w:rPr>
          <w:rFonts w:ascii="Arial" w:hAnsi="Arial" w:cs="Arial"/>
        </w:rPr>
        <w:t xml:space="preserve">, </w:t>
      </w:r>
      <w:r w:rsidR="003D04F5" w:rsidRPr="00DB608C">
        <w:rPr>
          <w:rFonts w:ascii="Arial" w:hAnsi="Arial" w:cs="Arial"/>
        </w:rPr>
        <w:t xml:space="preserve">solicitando </w:t>
      </w:r>
      <w:r w:rsidR="003D04F5" w:rsidRPr="00DB608C">
        <w:rPr>
          <w:rFonts w:ascii="Arial" w:hAnsi="Arial" w:cs="Arial"/>
          <w:bCs/>
        </w:rPr>
        <w:t>se me adhiera a los trabajos edilicios como autora de la iniciativa.</w:t>
      </w:r>
    </w:p>
    <w:p w14:paraId="0AD0409A" w14:textId="77777777" w:rsidR="00DC1E40" w:rsidRPr="001A0AE1" w:rsidRDefault="00DC1E40" w:rsidP="003D04F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iCs/>
        </w:rPr>
      </w:pPr>
    </w:p>
    <w:p w14:paraId="56209959" w14:textId="77777777" w:rsidR="006A58F1" w:rsidRPr="006A58F1" w:rsidRDefault="006A58F1" w:rsidP="006A58F1">
      <w:pPr>
        <w:ind w:firstLine="708"/>
        <w:jc w:val="center"/>
        <w:rPr>
          <w:rFonts w:ascii="Arial" w:eastAsia="Cambria" w:hAnsi="Arial" w:cs="Arial"/>
          <w:b/>
        </w:rPr>
      </w:pPr>
    </w:p>
    <w:p w14:paraId="3BA7C64C" w14:textId="77777777" w:rsidR="006A58F1" w:rsidRPr="006A58F1" w:rsidRDefault="006A58F1" w:rsidP="006A58F1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219195124"/>
      <w:r w:rsidRPr="006A58F1">
        <w:rPr>
          <w:rFonts w:ascii="Arial" w:hAnsi="Arial" w:cs="Arial"/>
          <w:b/>
          <w:bCs/>
          <w:sz w:val="20"/>
          <w:szCs w:val="20"/>
        </w:rPr>
        <w:t>ATENTAMENTE</w:t>
      </w:r>
    </w:p>
    <w:p w14:paraId="2E6F18B8" w14:textId="77777777" w:rsidR="006A58F1" w:rsidRPr="006A58F1" w:rsidRDefault="006A58F1" w:rsidP="006A58F1">
      <w:pPr>
        <w:pStyle w:val="Sinespaciado"/>
        <w:jc w:val="center"/>
        <w:rPr>
          <w:rFonts w:ascii="Arial" w:hAnsi="Arial" w:cs="Arial"/>
          <w:i/>
          <w:iCs/>
          <w:sz w:val="18"/>
          <w:szCs w:val="18"/>
        </w:rPr>
      </w:pPr>
      <w:r w:rsidRPr="006A58F1">
        <w:rPr>
          <w:rFonts w:ascii="Arial" w:hAnsi="Arial" w:cs="Arial"/>
          <w:sz w:val="18"/>
          <w:szCs w:val="18"/>
        </w:rPr>
        <w:t>“</w:t>
      </w:r>
      <w:r w:rsidRPr="006A58F1">
        <w:rPr>
          <w:rFonts w:ascii="Arial" w:hAnsi="Arial" w:cs="Arial"/>
          <w:i/>
          <w:iCs/>
          <w:sz w:val="18"/>
          <w:szCs w:val="18"/>
        </w:rPr>
        <w:t>2026, CENTENARIO DEL NATALICIO DEL COMPOSITOR ZAPOTLENSE RUBÉN FUENTES GASSON”</w:t>
      </w:r>
    </w:p>
    <w:p w14:paraId="77140CC7" w14:textId="77777777" w:rsidR="006A58F1" w:rsidRPr="006A58F1" w:rsidRDefault="006A58F1" w:rsidP="006A58F1">
      <w:pPr>
        <w:pStyle w:val="Sinespaciado"/>
        <w:jc w:val="center"/>
        <w:rPr>
          <w:rFonts w:ascii="Arial" w:eastAsia="Calibri" w:hAnsi="Arial" w:cs="Arial"/>
          <w:i/>
          <w:iCs/>
          <w:color w:val="000000" w:themeColor="text1"/>
          <w:sz w:val="18"/>
          <w:szCs w:val="18"/>
          <w:lang w:val="pt-BR"/>
        </w:rPr>
      </w:pPr>
      <w:r w:rsidRPr="006A58F1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val="pt-BR"/>
        </w:rPr>
        <w:t>“2026, CENTENARIO DEL ANIVERSARIO DEL NATALICIO DEL LITERATO ROBERTO ESPINOZA GUZMÁN”</w:t>
      </w:r>
    </w:p>
    <w:p w14:paraId="573B2880" w14:textId="77777777" w:rsidR="006A58F1" w:rsidRPr="006A58F1" w:rsidRDefault="006A58F1" w:rsidP="006A58F1">
      <w:pPr>
        <w:pStyle w:val="Sinespaciado"/>
        <w:jc w:val="center"/>
        <w:rPr>
          <w:rFonts w:ascii="Arial" w:eastAsia="Calibri" w:hAnsi="Arial" w:cs="Arial"/>
          <w:i/>
          <w:iCs/>
          <w:color w:val="000000" w:themeColor="text1"/>
          <w:sz w:val="18"/>
          <w:szCs w:val="18"/>
          <w:lang w:val="pt-BR"/>
        </w:rPr>
      </w:pPr>
      <w:r w:rsidRPr="006A58F1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val="pt-BR"/>
        </w:rPr>
        <w:t>“2026, CENTÉSIMO QUINCUAGÉSIMO ANIVERSARIO DEL NATALICIO DEL COMPOSITOR Y DIRECTOR DE ORQUESTA JOSÉ PAULINO DE JESÚS ROLÓN ALCARAZ”</w:t>
      </w:r>
    </w:p>
    <w:p w14:paraId="138D9A3C" w14:textId="7B1B9543" w:rsidR="006A58F1" w:rsidRPr="006A58F1" w:rsidRDefault="006A58F1" w:rsidP="006A58F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A58F1">
        <w:rPr>
          <w:rFonts w:ascii="Arial" w:hAnsi="Arial" w:cs="Arial"/>
          <w:b/>
          <w:bCs/>
          <w:sz w:val="20"/>
          <w:szCs w:val="20"/>
        </w:rPr>
        <w:t xml:space="preserve">Ciudad Guzmán, Municipio de Zapotlán El Grande, Jalisco. </w:t>
      </w:r>
      <w:r w:rsidR="00D66E57">
        <w:rPr>
          <w:rFonts w:ascii="Arial" w:hAnsi="Arial" w:cs="Arial"/>
          <w:b/>
          <w:bCs/>
          <w:sz w:val="20"/>
          <w:szCs w:val="20"/>
        </w:rPr>
        <w:t>25 de agosto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A58F1">
        <w:rPr>
          <w:rFonts w:ascii="Arial" w:hAnsi="Arial" w:cs="Arial"/>
          <w:b/>
          <w:bCs/>
          <w:sz w:val="20"/>
          <w:szCs w:val="20"/>
        </w:rPr>
        <w:t>del 202</w:t>
      </w:r>
      <w:bookmarkEnd w:id="1"/>
      <w:r w:rsidRPr="006A58F1">
        <w:rPr>
          <w:rFonts w:ascii="Arial" w:hAnsi="Arial" w:cs="Arial"/>
          <w:b/>
          <w:bCs/>
          <w:sz w:val="20"/>
          <w:szCs w:val="20"/>
        </w:rPr>
        <w:t>6</w:t>
      </w:r>
    </w:p>
    <w:p w14:paraId="3A629A35" w14:textId="77777777" w:rsidR="006A58F1" w:rsidRPr="006A58F1" w:rsidRDefault="006A58F1" w:rsidP="006A58F1">
      <w:pPr>
        <w:pStyle w:val="Sinespaciado"/>
        <w:jc w:val="center"/>
        <w:rPr>
          <w:rFonts w:ascii="Arial" w:hAnsi="Arial" w:cs="Arial"/>
          <w:b/>
        </w:rPr>
      </w:pPr>
    </w:p>
    <w:p w14:paraId="73C2B5BF" w14:textId="77777777" w:rsidR="006A58F1" w:rsidRPr="006A58F1" w:rsidRDefault="006A58F1" w:rsidP="006A58F1">
      <w:pPr>
        <w:spacing w:line="276" w:lineRule="auto"/>
        <w:rPr>
          <w:rFonts w:ascii="Arial" w:hAnsi="Arial" w:cs="Arial"/>
          <w:sz w:val="22"/>
        </w:rPr>
      </w:pPr>
    </w:p>
    <w:p w14:paraId="0FC36011" w14:textId="77777777" w:rsidR="006A58F1" w:rsidRDefault="006A58F1" w:rsidP="006A58F1">
      <w:pPr>
        <w:spacing w:line="276" w:lineRule="auto"/>
        <w:rPr>
          <w:rFonts w:ascii="Franklin Gothic Book" w:hAnsi="Franklin Gothic Book" w:cstheme="minorHAnsi"/>
          <w:sz w:val="22"/>
        </w:rPr>
      </w:pPr>
    </w:p>
    <w:p w14:paraId="5549336E" w14:textId="77777777" w:rsidR="006A58F1" w:rsidRDefault="006A58F1" w:rsidP="006A58F1">
      <w:pPr>
        <w:spacing w:line="276" w:lineRule="auto"/>
        <w:rPr>
          <w:rFonts w:ascii="Franklin Gothic Book" w:hAnsi="Franklin Gothic Book" w:cstheme="minorHAnsi"/>
          <w:sz w:val="22"/>
        </w:rPr>
      </w:pPr>
    </w:p>
    <w:p w14:paraId="7446F932" w14:textId="77777777" w:rsidR="006A58F1" w:rsidRDefault="006A58F1" w:rsidP="006A58F1">
      <w:pPr>
        <w:spacing w:line="276" w:lineRule="auto"/>
        <w:rPr>
          <w:rFonts w:ascii="Franklin Gothic Book" w:hAnsi="Franklin Gothic Book" w:cstheme="minorHAnsi"/>
          <w:sz w:val="22"/>
        </w:rPr>
      </w:pPr>
    </w:p>
    <w:p w14:paraId="61D2E521" w14:textId="77777777" w:rsidR="006A58F1" w:rsidRPr="003E745A" w:rsidRDefault="006A58F1" w:rsidP="006A58F1">
      <w:pPr>
        <w:spacing w:line="276" w:lineRule="auto"/>
        <w:rPr>
          <w:rFonts w:ascii="Franklin Gothic Book" w:hAnsi="Franklin Gothic Book" w:cstheme="minorHAnsi"/>
          <w:b/>
          <w:sz w:val="22"/>
        </w:rPr>
      </w:pPr>
    </w:p>
    <w:p w14:paraId="72AD0777" w14:textId="77777777" w:rsidR="006A58F1" w:rsidRPr="006A58F1" w:rsidRDefault="006A58F1" w:rsidP="006A58F1">
      <w:pPr>
        <w:spacing w:line="276" w:lineRule="auto"/>
        <w:rPr>
          <w:rFonts w:ascii="Arial" w:hAnsi="Arial" w:cs="Arial"/>
          <w:b/>
        </w:rPr>
      </w:pPr>
    </w:p>
    <w:p w14:paraId="73045052" w14:textId="30D5073A" w:rsidR="006A58F1" w:rsidRPr="006A58F1" w:rsidRDefault="00D66E57" w:rsidP="006A58F1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DRA</w:t>
      </w:r>
      <w:r w:rsidR="006A58F1" w:rsidRPr="006A58F1">
        <w:rPr>
          <w:rFonts w:ascii="Arial" w:hAnsi="Arial" w:cs="Arial"/>
          <w:b/>
          <w:sz w:val="24"/>
          <w:szCs w:val="24"/>
        </w:rPr>
        <w:t>. MARÍA OLGA GARCÍA AYALA</w:t>
      </w:r>
    </w:p>
    <w:p w14:paraId="078A4FCE" w14:textId="77777777" w:rsidR="006A58F1" w:rsidRPr="006A58F1" w:rsidRDefault="006A58F1" w:rsidP="006A58F1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A58F1">
        <w:rPr>
          <w:rFonts w:ascii="Arial" w:hAnsi="Arial" w:cs="Arial"/>
          <w:b/>
          <w:sz w:val="24"/>
          <w:szCs w:val="24"/>
        </w:rPr>
        <w:t xml:space="preserve">Regidora </w:t>
      </w:r>
    </w:p>
    <w:p w14:paraId="6024489B" w14:textId="77777777" w:rsidR="006A58F1" w:rsidRPr="006A58F1" w:rsidRDefault="006A58F1" w:rsidP="006A58F1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A7BF348" w14:textId="67056FD4" w:rsidR="00DC1E40" w:rsidRPr="006A58F1" w:rsidRDefault="00DC1E40" w:rsidP="003D04F5">
      <w:pPr>
        <w:pStyle w:val="Sinespaciad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F9B0154" w14:textId="77777777" w:rsidR="00DC1E40" w:rsidRDefault="00DC1E40" w:rsidP="003D04F5">
      <w:pPr>
        <w:pStyle w:val="Sinespaciado"/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7DCD8981" w14:textId="77777777" w:rsidR="00974A0D" w:rsidRPr="001A0AE1" w:rsidRDefault="00974A0D" w:rsidP="003D04F5">
      <w:pPr>
        <w:pStyle w:val="Sinespaciado"/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157ED9D7" w14:textId="0693FAC1" w:rsidR="003D04F5" w:rsidRPr="001A0AE1" w:rsidRDefault="00AA4611" w:rsidP="00DB608C">
      <w:pPr>
        <w:pStyle w:val="Sinespaciado"/>
        <w:spacing w:line="360" w:lineRule="auto"/>
        <w:jc w:val="both"/>
        <w:rPr>
          <w:rFonts w:ascii="Arial" w:hAnsi="Arial" w:cs="Arial"/>
          <w:b/>
          <w:bCs/>
        </w:rPr>
      </w:pPr>
      <w:r w:rsidRPr="001A0AE1">
        <w:rPr>
          <w:rFonts w:ascii="Arial" w:hAnsi="Arial" w:cs="Arial"/>
          <w:sz w:val="16"/>
          <w:szCs w:val="16"/>
        </w:rPr>
        <w:t>MOGA/lggp</w:t>
      </w:r>
    </w:p>
    <w:sectPr w:rsidR="003D04F5" w:rsidRPr="001A0AE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55349" w14:textId="77777777" w:rsidR="00DC5BBA" w:rsidRDefault="00DC5BBA" w:rsidP="00EC5106">
      <w:pPr>
        <w:spacing w:after="0" w:line="240" w:lineRule="auto"/>
      </w:pPr>
      <w:r>
        <w:separator/>
      </w:r>
    </w:p>
  </w:endnote>
  <w:endnote w:type="continuationSeparator" w:id="0">
    <w:p w14:paraId="4E4758B8" w14:textId="77777777" w:rsidR="00DC5BBA" w:rsidRDefault="00DC5BBA" w:rsidP="00EC5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5969B" w14:textId="77777777" w:rsidR="00DC5BBA" w:rsidRDefault="00DC5BBA" w:rsidP="00EC5106">
      <w:pPr>
        <w:spacing w:after="0" w:line="240" w:lineRule="auto"/>
      </w:pPr>
      <w:r>
        <w:separator/>
      </w:r>
    </w:p>
  </w:footnote>
  <w:footnote w:type="continuationSeparator" w:id="0">
    <w:p w14:paraId="463859A2" w14:textId="77777777" w:rsidR="00DC5BBA" w:rsidRDefault="00DC5BBA" w:rsidP="00EC5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8872D" w14:textId="6CD7163E" w:rsidR="00EC5106" w:rsidRDefault="00000000">
    <w:pPr>
      <w:pStyle w:val="Encabezado"/>
    </w:pPr>
    <w:sdt>
      <w:sdtPr>
        <w:id w:val="444203421"/>
        <w:docPartObj>
          <w:docPartGallery w:val="Page Numbers (Margins)"/>
          <w:docPartUnique/>
        </w:docPartObj>
      </w:sdtPr>
      <w:sdtContent>
        <w:r w:rsidR="00895084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5F1BE30" wp14:editId="111CA89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37468538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A01C5" w14:textId="77777777" w:rsidR="00895084" w:rsidRDefault="00895084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es-ES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5F1BE30" id="Rectángulo 1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61A01C5" w14:textId="77777777" w:rsidR="00895084" w:rsidRDefault="00895084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es-ES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C5106">
      <w:rPr>
        <w:noProof/>
        <w:lang w:eastAsia="es-MX"/>
      </w:rPr>
      <w:drawing>
        <wp:anchor distT="0" distB="0" distL="114300" distR="114300" simplePos="0" relativeHeight="251659264" behindDoc="1" locked="0" layoutInCell="0" allowOverlap="1" wp14:anchorId="063BDD15" wp14:editId="72992C4A">
          <wp:simplePos x="0" y="0"/>
          <wp:positionH relativeFrom="page">
            <wp:align>right</wp:align>
          </wp:positionH>
          <wp:positionV relativeFrom="page">
            <wp:posOffset>20320</wp:posOffset>
          </wp:positionV>
          <wp:extent cx="7776845" cy="10062845"/>
          <wp:effectExtent l="0" t="0" r="0" b="0"/>
          <wp:wrapNone/>
          <wp:docPr id="2" name="WordPictureWatermark32220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845" cy="10062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4D27"/>
    <w:multiLevelType w:val="multilevel"/>
    <w:tmpl w:val="236A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0550E"/>
    <w:multiLevelType w:val="multilevel"/>
    <w:tmpl w:val="87A4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5546E"/>
    <w:multiLevelType w:val="multilevel"/>
    <w:tmpl w:val="93EC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C393A"/>
    <w:multiLevelType w:val="multilevel"/>
    <w:tmpl w:val="4290F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74152"/>
    <w:multiLevelType w:val="multilevel"/>
    <w:tmpl w:val="4F3A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B4391D"/>
    <w:multiLevelType w:val="multilevel"/>
    <w:tmpl w:val="A46C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1104D0"/>
    <w:multiLevelType w:val="multilevel"/>
    <w:tmpl w:val="9404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964D98"/>
    <w:multiLevelType w:val="multilevel"/>
    <w:tmpl w:val="FF7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5F3443"/>
    <w:multiLevelType w:val="multilevel"/>
    <w:tmpl w:val="6B10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03A96"/>
    <w:multiLevelType w:val="hybridMultilevel"/>
    <w:tmpl w:val="9F18F21E"/>
    <w:lvl w:ilvl="0" w:tplc="47E4568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D4451"/>
    <w:multiLevelType w:val="hybridMultilevel"/>
    <w:tmpl w:val="2C0AC110"/>
    <w:lvl w:ilvl="0" w:tplc="47E4568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E6C57"/>
    <w:multiLevelType w:val="multilevel"/>
    <w:tmpl w:val="20D4D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A76565"/>
    <w:multiLevelType w:val="multilevel"/>
    <w:tmpl w:val="6360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0248AF"/>
    <w:multiLevelType w:val="hybridMultilevel"/>
    <w:tmpl w:val="9FCE524A"/>
    <w:lvl w:ilvl="0" w:tplc="47E4568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9218C4"/>
    <w:multiLevelType w:val="multilevel"/>
    <w:tmpl w:val="BE84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160C1C"/>
    <w:multiLevelType w:val="multilevel"/>
    <w:tmpl w:val="6A803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D40692"/>
    <w:multiLevelType w:val="multilevel"/>
    <w:tmpl w:val="8BA0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435ACE"/>
    <w:multiLevelType w:val="multilevel"/>
    <w:tmpl w:val="A542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B93043"/>
    <w:multiLevelType w:val="multilevel"/>
    <w:tmpl w:val="47F6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175330">
    <w:abstractNumId w:val="7"/>
  </w:num>
  <w:num w:numId="2" w16cid:durableId="347948791">
    <w:abstractNumId w:val="13"/>
  </w:num>
  <w:num w:numId="3" w16cid:durableId="694845396">
    <w:abstractNumId w:val="10"/>
  </w:num>
  <w:num w:numId="4" w16cid:durableId="1833450857">
    <w:abstractNumId w:val="9"/>
  </w:num>
  <w:num w:numId="5" w16cid:durableId="2017882486">
    <w:abstractNumId w:val="6"/>
  </w:num>
  <w:num w:numId="6" w16cid:durableId="710962999">
    <w:abstractNumId w:val="4"/>
  </w:num>
  <w:num w:numId="7" w16cid:durableId="306252298">
    <w:abstractNumId w:val="15"/>
  </w:num>
  <w:num w:numId="8" w16cid:durableId="1203902986">
    <w:abstractNumId w:val="2"/>
  </w:num>
  <w:num w:numId="9" w16cid:durableId="1048185208">
    <w:abstractNumId w:val="8"/>
  </w:num>
  <w:num w:numId="10" w16cid:durableId="1141918958">
    <w:abstractNumId w:val="18"/>
  </w:num>
  <w:num w:numId="11" w16cid:durableId="483661971">
    <w:abstractNumId w:val="14"/>
  </w:num>
  <w:num w:numId="12" w16cid:durableId="1865634278">
    <w:abstractNumId w:val="17"/>
  </w:num>
  <w:num w:numId="13" w16cid:durableId="812334020">
    <w:abstractNumId w:val="5"/>
  </w:num>
  <w:num w:numId="14" w16cid:durableId="293411641">
    <w:abstractNumId w:val="3"/>
  </w:num>
  <w:num w:numId="15" w16cid:durableId="1787504108">
    <w:abstractNumId w:val="0"/>
  </w:num>
  <w:num w:numId="16" w16cid:durableId="753430062">
    <w:abstractNumId w:val="16"/>
  </w:num>
  <w:num w:numId="17" w16cid:durableId="1998335971">
    <w:abstractNumId w:val="1"/>
  </w:num>
  <w:num w:numId="18" w16cid:durableId="2029133674">
    <w:abstractNumId w:val="12"/>
  </w:num>
  <w:num w:numId="19" w16cid:durableId="1292905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06"/>
    <w:rsid w:val="000D2839"/>
    <w:rsid w:val="001173CE"/>
    <w:rsid w:val="001A0AE1"/>
    <w:rsid w:val="00264CBD"/>
    <w:rsid w:val="003055B5"/>
    <w:rsid w:val="00357FBA"/>
    <w:rsid w:val="003D04F5"/>
    <w:rsid w:val="00462D87"/>
    <w:rsid w:val="005A1871"/>
    <w:rsid w:val="00640082"/>
    <w:rsid w:val="006605B5"/>
    <w:rsid w:val="006A58F1"/>
    <w:rsid w:val="006C5082"/>
    <w:rsid w:val="00862AFD"/>
    <w:rsid w:val="00895084"/>
    <w:rsid w:val="008B3759"/>
    <w:rsid w:val="00974A0D"/>
    <w:rsid w:val="00AA4611"/>
    <w:rsid w:val="00AE6A83"/>
    <w:rsid w:val="00AF61C4"/>
    <w:rsid w:val="00B846EA"/>
    <w:rsid w:val="00BA0123"/>
    <w:rsid w:val="00C20F45"/>
    <w:rsid w:val="00CC36DD"/>
    <w:rsid w:val="00CD162D"/>
    <w:rsid w:val="00CE5A3B"/>
    <w:rsid w:val="00CF0F8E"/>
    <w:rsid w:val="00D15874"/>
    <w:rsid w:val="00D2402F"/>
    <w:rsid w:val="00D66E57"/>
    <w:rsid w:val="00DB50B1"/>
    <w:rsid w:val="00DB608C"/>
    <w:rsid w:val="00DC1E40"/>
    <w:rsid w:val="00DC5BBA"/>
    <w:rsid w:val="00E0551A"/>
    <w:rsid w:val="00EC5106"/>
    <w:rsid w:val="00EF1B30"/>
    <w:rsid w:val="00F064DB"/>
    <w:rsid w:val="00F66F6A"/>
    <w:rsid w:val="00FB4342"/>
    <w:rsid w:val="00FC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49807"/>
  <w15:chartTrackingRefBased/>
  <w15:docId w15:val="{5E327304-8A22-4D1A-AA3A-1807348C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C5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5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51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5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51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5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5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5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5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51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5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51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510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510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51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51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51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51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5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5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5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5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5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51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51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510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51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510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510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C51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5106"/>
  </w:style>
  <w:style w:type="paragraph" w:styleId="Piedepgina">
    <w:name w:val="footer"/>
    <w:basedOn w:val="Normal"/>
    <w:link w:val="PiedepginaCar"/>
    <w:uiPriority w:val="99"/>
    <w:unhideWhenUsed/>
    <w:rsid w:val="00EC51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106"/>
  </w:style>
  <w:style w:type="paragraph" w:styleId="Sinespaciado">
    <w:name w:val="No Spacing"/>
    <w:link w:val="SinespaciadoCar"/>
    <w:uiPriority w:val="1"/>
    <w:qFormat/>
    <w:rsid w:val="00AA4611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inespaciadoCar">
    <w:name w:val="Sin espaciado Car"/>
    <w:link w:val="Sinespaciado"/>
    <w:uiPriority w:val="1"/>
    <w:rsid w:val="00AA4611"/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F61C4"/>
    <w:rPr>
      <w:rFonts w:ascii="Times New Roman" w:hAnsi="Times New Roman" w:cs="Times New Roma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B434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FB4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1237</Words>
  <Characters>6809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Guadalupe Gomez Pinto</dc:creator>
  <cp:keywords/>
  <dc:description/>
  <cp:lastModifiedBy>Laura Guadalupe Gomez Pinto</cp:lastModifiedBy>
  <cp:revision>4</cp:revision>
  <cp:lastPrinted>2025-11-25T14:54:00Z</cp:lastPrinted>
  <dcterms:created xsi:type="dcterms:W3CDTF">2026-05-08T16:24:00Z</dcterms:created>
  <dcterms:modified xsi:type="dcterms:W3CDTF">2026-08-25T16:40:00Z</dcterms:modified>
</cp:coreProperties>
</file>