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C61" w:rsidRDefault="00A77C61" w:rsidP="00A77C61">
      <w:pPr>
        <w:pBdr>
          <w:top w:val="single" w:sz="4" w:space="1" w:color="auto"/>
          <w:left w:val="single" w:sz="4" w:space="4" w:color="auto"/>
          <w:bottom w:val="single" w:sz="4" w:space="0" w:color="auto"/>
          <w:right w:val="single" w:sz="4" w:space="4" w:color="auto"/>
        </w:pBdr>
        <w:spacing w:after="0" w:line="240" w:lineRule="auto"/>
        <w:jc w:val="center"/>
        <w:rPr>
          <w:rFonts w:ascii="Arial" w:eastAsia="Times New Roman" w:hAnsi="Arial" w:cs="Arial"/>
          <w:b/>
          <w:sz w:val="24"/>
          <w:szCs w:val="24"/>
          <w:lang w:val="es-ES" w:eastAsia="es-ES"/>
        </w:rPr>
      </w:pPr>
    </w:p>
    <w:p w:rsidR="00A77C61" w:rsidRDefault="00A77C61" w:rsidP="00A77C61">
      <w:pPr>
        <w:pBdr>
          <w:top w:val="single" w:sz="4" w:space="1" w:color="auto"/>
          <w:left w:val="single" w:sz="4" w:space="4" w:color="auto"/>
          <w:bottom w:val="single" w:sz="4" w:space="0" w:color="auto"/>
          <w:right w:val="single" w:sz="4" w:space="4" w:color="auto"/>
        </w:pBdr>
        <w:spacing w:after="0" w:line="24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ACTA No. 3</w:t>
      </w:r>
      <w:r w:rsidRPr="00C04F06">
        <w:rPr>
          <w:rFonts w:ascii="Arial" w:eastAsia="Times New Roman" w:hAnsi="Arial" w:cs="Arial"/>
          <w:b/>
          <w:sz w:val="24"/>
          <w:szCs w:val="24"/>
          <w:lang w:val="es-ES" w:eastAsia="es-ES"/>
        </w:rPr>
        <w:t xml:space="preserve"> DE LA SESIÓN EXTRAORDINARIA DE LA COMISIÓN EDILICIA PERMANENTE  DE </w:t>
      </w:r>
      <w:r w:rsidRPr="00C04F06">
        <w:rPr>
          <w:rFonts w:ascii="Arial" w:eastAsia="Times New Roman" w:hAnsi="Arial" w:cs="Arial"/>
          <w:b/>
          <w:sz w:val="28"/>
          <w:szCs w:val="24"/>
          <w:lang w:val="es-ES" w:eastAsia="es-ES"/>
        </w:rPr>
        <w:t xml:space="preserve"> </w:t>
      </w:r>
      <w:r w:rsidRPr="00C04F06">
        <w:rPr>
          <w:rFonts w:ascii="Arial" w:eastAsia="Times New Roman" w:hAnsi="Arial" w:cs="Arial"/>
          <w:b/>
          <w:sz w:val="24"/>
          <w:szCs w:val="24"/>
          <w:lang w:val="es-ES" w:eastAsia="es-ES"/>
        </w:rPr>
        <w:t>OBRAS PÚBLICAS, PLANEACIÓN URBANA Y REGULARIZAC</w:t>
      </w:r>
      <w:r>
        <w:rPr>
          <w:rFonts w:ascii="Arial" w:eastAsia="Times New Roman" w:hAnsi="Arial" w:cs="Arial"/>
          <w:b/>
          <w:sz w:val="24"/>
          <w:szCs w:val="24"/>
          <w:lang w:val="es-ES" w:eastAsia="es-ES"/>
        </w:rPr>
        <w:t>IÓN DE LA TENENCIA DE LA TIERRA; HACIENDA PÚBLICA Y DE PATRIMONIO MUNICIPAL; PARTICIPACIÓN CIUDADANA Y VECINAL; Y REGLAMENTOS Y GOBERNACIÓN</w:t>
      </w:r>
    </w:p>
    <w:p w:rsidR="00A77C61" w:rsidRPr="00C04F06" w:rsidRDefault="00A77C61" w:rsidP="00A77C61">
      <w:pPr>
        <w:pBdr>
          <w:top w:val="single" w:sz="4" w:space="1" w:color="auto"/>
          <w:left w:val="single" w:sz="4" w:space="4" w:color="auto"/>
          <w:bottom w:val="single" w:sz="4" w:space="0" w:color="auto"/>
          <w:right w:val="single" w:sz="4" w:space="4" w:color="auto"/>
        </w:pBdr>
        <w:spacing w:after="0" w:line="240" w:lineRule="auto"/>
        <w:jc w:val="center"/>
        <w:rPr>
          <w:rFonts w:ascii="Arial" w:eastAsia="Times New Roman" w:hAnsi="Arial" w:cs="Arial"/>
          <w:b/>
          <w:sz w:val="28"/>
          <w:szCs w:val="24"/>
          <w:lang w:val="es-ES" w:eastAsia="es-ES"/>
        </w:rPr>
      </w:pPr>
    </w:p>
    <w:p w:rsidR="00A77C61" w:rsidRPr="00C04F06" w:rsidRDefault="00A77C61" w:rsidP="00A77C61">
      <w:pPr>
        <w:spacing w:after="0" w:line="240" w:lineRule="auto"/>
        <w:ind w:firstLine="708"/>
        <w:jc w:val="both"/>
        <w:rPr>
          <w:rFonts w:ascii="Arial" w:eastAsia="Times New Roman" w:hAnsi="Arial" w:cs="Arial"/>
          <w:sz w:val="24"/>
          <w:szCs w:val="24"/>
          <w:lang w:val="es-ES" w:eastAsia="es-ES"/>
        </w:rPr>
      </w:pPr>
    </w:p>
    <w:p w:rsidR="00A77C61" w:rsidRPr="00C04F06" w:rsidRDefault="00A77C61" w:rsidP="00A77C61">
      <w:pPr>
        <w:spacing w:after="0" w:line="240" w:lineRule="auto"/>
        <w:ind w:firstLine="708"/>
        <w:jc w:val="both"/>
        <w:rPr>
          <w:rFonts w:ascii="Arial" w:eastAsia="Times New Roman" w:hAnsi="Arial" w:cs="Arial"/>
          <w:iCs/>
          <w:color w:val="000000"/>
          <w:sz w:val="24"/>
          <w:szCs w:val="24"/>
          <w:lang w:val="es-ES" w:eastAsia="es-ES"/>
        </w:rPr>
      </w:pPr>
      <w:r w:rsidRPr="00C04F06">
        <w:rPr>
          <w:rFonts w:ascii="Arial" w:eastAsia="Times New Roman" w:hAnsi="Arial" w:cs="Arial"/>
          <w:sz w:val="24"/>
          <w:szCs w:val="24"/>
          <w:lang w:val="es-ES" w:eastAsia="es-ES"/>
        </w:rPr>
        <w:t>En ciudad Guzmán, Municipio de Zapotlán</w:t>
      </w:r>
      <w:r>
        <w:rPr>
          <w:rFonts w:ascii="Arial" w:eastAsia="Times New Roman" w:hAnsi="Arial" w:cs="Arial"/>
          <w:sz w:val="24"/>
          <w:szCs w:val="24"/>
          <w:lang w:val="es-ES" w:eastAsia="es-ES"/>
        </w:rPr>
        <w:t xml:space="preserve"> el Grande; Jalisco; siendo las 12:38 doce </w:t>
      </w:r>
      <w:r w:rsidRPr="00C04F06">
        <w:rPr>
          <w:rFonts w:ascii="Arial" w:eastAsia="Times New Roman" w:hAnsi="Arial" w:cs="Arial"/>
          <w:sz w:val="24"/>
          <w:szCs w:val="24"/>
          <w:lang w:val="es-ES" w:eastAsia="es-ES"/>
        </w:rPr>
        <w:t>horas</w:t>
      </w:r>
      <w:r>
        <w:rPr>
          <w:rFonts w:ascii="Arial" w:eastAsia="Times New Roman" w:hAnsi="Arial" w:cs="Arial"/>
          <w:sz w:val="24"/>
          <w:szCs w:val="24"/>
          <w:lang w:val="es-ES" w:eastAsia="es-ES"/>
        </w:rPr>
        <w:t xml:space="preserve"> con treinta y ocho minutos</w:t>
      </w:r>
      <w:r w:rsidRPr="00C04F06">
        <w:rPr>
          <w:rFonts w:ascii="Arial" w:eastAsia="Times New Roman" w:hAnsi="Arial" w:cs="Arial"/>
          <w:sz w:val="24"/>
          <w:szCs w:val="24"/>
          <w:lang w:val="es-ES" w:eastAsia="es-ES"/>
        </w:rPr>
        <w:t xml:space="preserve"> del día </w:t>
      </w:r>
      <w:r>
        <w:rPr>
          <w:rFonts w:ascii="Arial" w:eastAsia="Times New Roman" w:hAnsi="Arial" w:cs="Arial"/>
          <w:sz w:val="24"/>
          <w:szCs w:val="24"/>
          <w:lang w:val="es-ES" w:eastAsia="es-ES"/>
        </w:rPr>
        <w:t>07 siete</w:t>
      </w:r>
      <w:r w:rsidRPr="00C04F06">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de Abril</w:t>
      </w:r>
      <w:r w:rsidRPr="00C04F06">
        <w:rPr>
          <w:rFonts w:ascii="Arial" w:eastAsia="Times New Roman" w:hAnsi="Arial" w:cs="Arial"/>
          <w:sz w:val="24"/>
          <w:szCs w:val="24"/>
          <w:lang w:val="es-ES" w:eastAsia="es-ES"/>
        </w:rPr>
        <w:t xml:space="preserve"> del 2016, reunidos en la Sala de </w:t>
      </w:r>
      <w:r>
        <w:rPr>
          <w:rFonts w:ascii="Arial" w:eastAsia="Times New Roman" w:hAnsi="Arial" w:cs="Arial"/>
          <w:sz w:val="24"/>
          <w:szCs w:val="24"/>
          <w:lang w:val="es-ES" w:eastAsia="es-ES"/>
        </w:rPr>
        <w:t>Estacionometros</w:t>
      </w:r>
      <w:r w:rsidRPr="00C04F06">
        <w:rPr>
          <w:rFonts w:ascii="Arial" w:eastAsia="Times New Roman" w:hAnsi="Arial" w:cs="Arial"/>
          <w:sz w:val="24"/>
          <w:szCs w:val="24"/>
          <w:lang w:val="es-ES" w:eastAsia="es-ES"/>
        </w:rPr>
        <w:t>, ubicada en el interior del recinto municipal,  en Av. Colón número 62; los Ciudadanos</w:t>
      </w:r>
      <w:r w:rsidRPr="00C04F06">
        <w:rPr>
          <w:rFonts w:ascii="Arial" w:eastAsia="Times New Roman" w:hAnsi="Arial" w:cs="Arial"/>
          <w:bCs/>
          <w:iCs/>
          <w:color w:val="000000"/>
          <w:sz w:val="24"/>
          <w:szCs w:val="24"/>
          <w:lang w:val="es-ES" w:eastAsia="es-ES"/>
        </w:rPr>
        <w:t xml:space="preserve"> J. JESUS GUERRERO Z</w:t>
      </w:r>
      <w:r>
        <w:rPr>
          <w:rFonts w:ascii="Arial" w:eastAsia="Times New Roman" w:hAnsi="Arial" w:cs="Arial"/>
          <w:bCs/>
          <w:iCs/>
          <w:color w:val="000000"/>
          <w:sz w:val="24"/>
          <w:szCs w:val="24"/>
          <w:lang w:val="es-ES" w:eastAsia="es-ES"/>
        </w:rPr>
        <w:t>UÑIGA, MARÍA LUIS JUAN MORALES, EDUARDO GÓNZALEZ</w:t>
      </w:r>
      <w:r w:rsidRPr="00C04F06">
        <w:rPr>
          <w:rFonts w:ascii="Arial" w:eastAsia="Times New Roman" w:hAnsi="Arial" w:cs="Arial"/>
          <w:bCs/>
          <w:iCs/>
          <w:color w:val="000000"/>
          <w:sz w:val="24"/>
          <w:szCs w:val="24"/>
          <w:lang w:val="es-ES" w:eastAsia="es-ES"/>
        </w:rPr>
        <w:t xml:space="preserve">, </w:t>
      </w:r>
      <w:r w:rsidRPr="00C04F06">
        <w:rPr>
          <w:rFonts w:ascii="Arial" w:eastAsia="Times New Roman" w:hAnsi="Arial" w:cs="Arial"/>
          <w:color w:val="000000"/>
          <w:sz w:val="24"/>
          <w:szCs w:val="24"/>
          <w:lang w:val="es-ES" w:eastAsia="es-ES"/>
        </w:rPr>
        <w:t xml:space="preserve">en nuestro carácter de Regidores Integrantes de la  Comisión Edilicia Permanente de </w:t>
      </w:r>
      <w:r w:rsidRPr="00C04F06">
        <w:rPr>
          <w:rFonts w:ascii="Arial" w:eastAsia="Times New Roman" w:hAnsi="Arial" w:cs="Arial"/>
          <w:b/>
          <w:color w:val="000000"/>
          <w:sz w:val="24"/>
          <w:szCs w:val="24"/>
          <w:lang w:val="es-ES" w:eastAsia="es-ES"/>
        </w:rPr>
        <w:t xml:space="preserve">OBRAS PÚBLICAS, PLANEACIÓN URBANA Y REGULARIZACIÓN DE LA TENENCIA DE LA TIERRA </w:t>
      </w:r>
      <w:r w:rsidRPr="00C04F06">
        <w:rPr>
          <w:rFonts w:ascii="Arial" w:eastAsia="Times New Roman" w:hAnsi="Arial" w:cs="Arial"/>
          <w:color w:val="000000"/>
          <w:sz w:val="24"/>
          <w:szCs w:val="24"/>
          <w:lang w:val="es-ES" w:eastAsia="es-ES"/>
        </w:rPr>
        <w:t xml:space="preserve">del </w:t>
      </w:r>
      <w:r w:rsidRPr="00C04F06">
        <w:rPr>
          <w:rFonts w:ascii="Arial" w:eastAsia="Times New Roman" w:hAnsi="Arial" w:cs="Arial"/>
          <w:iCs/>
          <w:color w:val="000000"/>
          <w:sz w:val="24"/>
          <w:szCs w:val="24"/>
          <w:lang w:val="es-ES" w:eastAsia="es-ES"/>
        </w:rPr>
        <w:t>H. Ayuntamiento Constitucional de Zapotlán el Grande, Jalisco como Comisión Convocante</w:t>
      </w:r>
      <w:r>
        <w:rPr>
          <w:rFonts w:ascii="Arial" w:eastAsia="Times New Roman" w:hAnsi="Arial" w:cs="Arial"/>
          <w:iCs/>
          <w:color w:val="000000"/>
          <w:sz w:val="24"/>
          <w:szCs w:val="24"/>
          <w:lang w:val="es-ES" w:eastAsia="es-ES"/>
        </w:rPr>
        <w:t>, y como Comisiones Coadyuvantes, estando presentes</w:t>
      </w:r>
      <w:r w:rsidRPr="00C04F06">
        <w:rPr>
          <w:rFonts w:ascii="Arial" w:eastAsia="Times New Roman" w:hAnsi="Arial" w:cs="Arial"/>
          <w:iCs/>
          <w:color w:val="000000"/>
          <w:sz w:val="24"/>
          <w:szCs w:val="24"/>
          <w:lang w:val="es-ES" w:eastAsia="es-ES"/>
        </w:rPr>
        <w:t xml:space="preserve"> la LIC. MATILDE ZEPEDA BAUTISTA Y LIC. LAURA ELENA MARTÍNEZ RUVALCABA en su c</w:t>
      </w:r>
      <w:r>
        <w:rPr>
          <w:rFonts w:ascii="Arial" w:eastAsia="Times New Roman" w:hAnsi="Arial" w:cs="Arial"/>
          <w:iCs/>
          <w:color w:val="000000"/>
          <w:sz w:val="24"/>
          <w:szCs w:val="24"/>
          <w:lang w:val="es-ES" w:eastAsia="es-ES"/>
        </w:rPr>
        <w:t>arácter de regidores integrantes</w:t>
      </w:r>
      <w:r w:rsidRPr="00C04F06">
        <w:rPr>
          <w:rFonts w:ascii="Arial" w:eastAsia="Times New Roman" w:hAnsi="Arial" w:cs="Arial"/>
          <w:iCs/>
          <w:color w:val="000000"/>
          <w:sz w:val="24"/>
          <w:szCs w:val="24"/>
          <w:lang w:val="es-ES" w:eastAsia="es-ES"/>
        </w:rPr>
        <w:t xml:space="preserve"> de la Comisión de Hacienda Pública y Patrimonio Mun</w:t>
      </w:r>
      <w:r>
        <w:rPr>
          <w:rFonts w:ascii="Arial" w:eastAsia="Times New Roman" w:hAnsi="Arial" w:cs="Arial"/>
          <w:iCs/>
          <w:color w:val="000000"/>
          <w:sz w:val="24"/>
          <w:szCs w:val="24"/>
          <w:lang w:val="es-ES" w:eastAsia="es-ES"/>
        </w:rPr>
        <w:t>icipal</w:t>
      </w:r>
      <w:r w:rsidRPr="00C04F06">
        <w:rPr>
          <w:rFonts w:ascii="Arial" w:eastAsia="Times New Roman" w:hAnsi="Arial" w:cs="Arial"/>
          <w:bCs/>
          <w:iCs/>
          <w:color w:val="000000"/>
          <w:sz w:val="24"/>
          <w:szCs w:val="24"/>
          <w:lang w:val="es-ES" w:eastAsia="es-ES"/>
        </w:rPr>
        <w:t>,</w:t>
      </w:r>
      <w:r>
        <w:rPr>
          <w:rFonts w:ascii="Arial" w:eastAsia="Times New Roman" w:hAnsi="Arial" w:cs="Arial"/>
          <w:bCs/>
          <w:iCs/>
          <w:color w:val="000000"/>
          <w:sz w:val="24"/>
          <w:szCs w:val="24"/>
          <w:lang w:val="es-ES" w:eastAsia="es-ES"/>
        </w:rPr>
        <w:t xml:space="preserve"> y de la misma manera CLAUDIA MURGUIA TORRES Y MARTHA GRACIELA VILLANUEVA ZALAPA, regidores integrantes de la Comisión de Participación Ciudadana y vecinal, y los regidores ERNESTO DOMÍNGUEZ LÓPEZ  y el Ciudadano presidente LIC. ALBERTO ESQUER GUTIÉRREZ, como miembros integrantes de la Comisión de Reglamentos y Gobernación, </w:t>
      </w:r>
      <w:r w:rsidRPr="00C04F06">
        <w:rPr>
          <w:rFonts w:ascii="Arial" w:eastAsia="Times New Roman" w:hAnsi="Arial" w:cs="Arial"/>
          <w:sz w:val="24"/>
          <w:szCs w:val="24"/>
          <w:lang w:val="es-ES" w:eastAsia="es-ES"/>
        </w:rPr>
        <w:t xml:space="preserve">con fundamento en lo dispuesto por el artículo 115 Constitucional, 27 de la Ley de Gobierno y la Administración Pública Municipal, 40, al 47 del Reglamento Interior del Ayuntamiento de Zapotlán el Grande; procedemos a celebrar la </w:t>
      </w:r>
      <w:r w:rsidRPr="00C04F06">
        <w:rPr>
          <w:rFonts w:ascii="Arial" w:eastAsia="Times New Roman" w:hAnsi="Arial" w:cs="Arial"/>
          <w:b/>
          <w:sz w:val="24"/>
          <w:szCs w:val="24"/>
          <w:lang w:val="es-ES" w:eastAsia="es-ES"/>
        </w:rPr>
        <w:t>Sesión Extraordi</w:t>
      </w:r>
      <w:r>
        <w:rPr>
          <w:rFonts w:ascii="Arial" w:eastAsia="Times New Roman" w:hAnsi="Arial" w:cs="Arial"/>
          <w:b/>
          <w:sz w:val="24"/>
          <w:szCs w:val="24"/>
          <w:lang w:val="es-ES" w:eastAsia="es-ES"/>
        </w:rPr>
        <w:t>naria de Comisiones Número 3 Tres</w:t>
      </w:r>
      <w:r>
        <w:rPr>
          <w:rFonts w:ascii="Arial" w:eastAsia="Times New Roman" w:hAnsi="Arial" w:cs="Arial"/>
          <w:sz w:val="24"/>
          <w:szCs w:val="24"/>
          <w:lang w:val="es-ES" w:eastAsia="es-ES"/>
        </w:rPr>
        <w:t xml:space="preserve">; </w:t>
      </w:r>
      <w:r w:rsidRPr="00C04F06">
        <w:rPr>
          <w:rFonts w:ascii="Arial" w:eastAsia="Times New Roman" w:hAnsi="Arial" w:cs="Arial"/>
          <w:sz w:val="24"/>
          <w:szCs w:val="24"/>
          <w:lang w:val="es-ES" w:eastAsia="es-ES"/>
        </w:rPr>
        <w:t xml:space="preserve">previa convocatoria se somete a consideración el siguiente </w:t>
      </w:r>
    </w:p>
    <w:p w:rsidR="00A77C61" w:rsidRPr="00C04F06" w:rsidRDefault="00A77C61" w:rsidP="00A77C61">
      <w:pPr>
        <w:spacing w:after="0" w:line="240" w:lineRule="auto"/>
        <w:jc w:val="center"/>
        <w:rPr>
          <w:rFonts w:ascii="Arial" w:eastAsia="Times New Roman" w:hAnsi="Arial" w:cs="Arial"/>
          <w:sz w:val="24"/>
          <w:szCs w:val="24"/>
          <w:lang w:val="es-ES" w:eastAsia="es-ES"/>
        </w:rPr>
      </w:pPr>
    </w:p>
    <w:p w:rsidR="00A77C61" w:rsidRPr="00C04F06" w:rsidRDefault="00A77C61" w:rsidP="00A77C6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val="es-ES" w:eastAsia="es-ES"/>
        </w:rPr>
      </w:pPr>
      <w:r w:rsidRPr="00C04F06">
        <w:rPr>
          <w:rFonts w:ascii="Arial" w:eastAsia="Times New Roman" w:hAnsi="Arial" w:cs="Arial"/>
          <w:b/>
          <w:sz w:val="24"/>
          <w:szCs w:val="24"/>
          <w:lang w:val="es-ES" w:eastAsia="es-ES"/>
        </w:rPr>
        <w:t>ORDEN DEL DÍA</w:t>
      </w:r>
    </w:p>
    <w:p w:rsidR="00A77C61" w:rsidRPr="00C04F06" w:rsidRDefault="00A77C61" w:rsidP="00A77C61">
      <w:pPr>
        <w:spacing w:after="0" w:line="240" w:lineRule="auto"/>
        <w:ind w:firstLine="708"/>
        <w:jc w:val="both"/>
        <w:rPr>
          <w:rFonts w:ascii="Arial" w:eastAsia="Times New Roman" w:hAnsi="Arial" w:cs="Arial"/>
          <w:b/>
          <w:sz w:val="24"/>
          <w:szCs w:val="24"/>
          <w:lang w:val="es-ES" w:eastAsia="es-ES"/>
        </w:rPr>
      </w:pPr>
    </w:p>
    <w:p w:rsidR="00A77C61" w:rsidRPr="00C04F06" w:rsidRDefault="00A77C61" w:rsidP="00A77C61">
      <w:pPr>
        <w:spacing w:after="0" w:line="240" w:lineRule="auto"/>
        <w:ind w:firstLine="708"/>
        <w:jc w:val="both"/>
        <w:rPr>
          <w:rFonts w:ascii="Arial" w:eastAsia="Times New Roman" w:hAnsi="Arial" w:cs="Arial"/>
          <w:sz w:val="24"/>
          <w:szCs w:val="24"/>
          <w:lang w:val="es-ES" w:eastAsia="es-ES"/>
        </w:rPr>
      </w:pPr>
      <w:r w:rsidRPr="00C04F06">
        <w:rPr>
          <w:rFonts w:ascii="Arial" w:eastAsia="Times New Roman" w:hAnsi="Arial" w:cs="Arial"/>
          <w:sz w:val="24"/>
          <w:szCs w:val="24"/>
          <w:lang w:val="es-ES" w:eastAsia="es-ES"/>
        </w:rPr>
        <w:t>1.- Lista de Asistencia, declaración de Quórum y aprobación del orden del día.</w:t>
      </w:r>
      <w:r w:rsidRPr="00C04F06">
        <w:rPr>
          <w:rFonts w:ascii="Arial" w:eastAsia="Times New Roman" w:hAnsi="Arial" w:cs="Arial"/>
          <w:sz w:val="24"/>
          <w:szCs w:val="24"/>
          <w:lang w:val="es-ES" w:eastAsia="es-ES"/>
        </w:rPr>
        <w:tab/>
      </w:r>
    </w:p>
    <w:p w:rsidR="00A77C61" w:rsidRDefault="00A77C61" w:rsidP="00A77C61">
      <w:pPr>
        <w:autoSpaceDE w:val="0"/>
        <w:autoSpaceDN w:val="0"/>
        <w:adjustRightInd w:val="0"/>
        <w:spacing w:after="0" w:line="240" w:lineRule="auto"/>
        <w:ind w:firstLine="708"/>
        <w:jc w:val="both"/>
        <w:rPr>
          <w:rFonts w:ascii="Arial" w:eastAsia="Times New Roman" w:hAnsi="Arial" w:cs="Arial"/>
          <w:sz w:val="24"/>
          <w:szCs w:val="24"/>
          <w:lang w:eastAsia="es-ES"/>
        </w:rPr>
      </w:pPr>
      <w:r w:rsidRPr="00C04F06">
        <w:rPr>
          <w:rFonts w:ascii="Arial" w:eastAsia="Times New Roman" w:hAnsi="Arial" w:cs="Arial"/>
          <w:sz w:val="24"/>
          <w:szCs w:val="24"/>
          <w:lang w:val="es-ES" w:eastAsia="es-ES"/>
        </w:rPr>
        <w:t xml:space="preserve">2.- </w:t>
      </w:r>
      <w:r w:rsidRPr="00C04F06">
        <w:rPr>
          <w:rFonts w:ascii="Arial" w:eastAsia="Times New Roman" w:hAnsi="Arial" w:cs="Arial"/>
          <w:sz w:val="24"/>
          <w:szCs w:val="24"/>
          <w:lang w:eastAsia="es-ES"/>
        </w:rPr>
        <w:t xml:space="preserve">Análisis de </w:t>
      </w:r>
      <w:r>
        <w:rPr>
          <w:rFonts w:ascii="Arial" w:eastAsia="Times New Roman" w:hAnsi="Arial" w:cs="Arial"/>
          <w:sz w:val="24"/>
          <w:szCs w:val="24"/>
          <w:lang w:eastAsia="es-ES"/>
        </w:rPr>
        <w:t xml:space="preserve">propuesta del Punto turnado a comisiones del día 23 de septiembre y del 21 de Diciembre del 2015, relativo sobre una iniciativa de acuerdo económico sobre estructuras de Telecomunicación turnado a las COMISIONES EDILICIAS DE OBRAS PÚBLICAS, PLANEACIÓN URBANA Y REGULARIZACIÓN DE LA TENENCIA DE LA TIERRA; HACIENDA PÚBLICA Y DE PATRIMONIO </w:t>
      </w:r>
      <w:r>
        <w:rPr>
          <w:rFonts w:ascii="Arial" w:eastAsia="Times New Roman" w:hAnsi="Arial" w:cs="Arial"/>
          <w:sz w:val="24"/>
          <w:szCs w:val="24"/>
          <w:lang w:eastAsia="es-ES"/>
        </w:rPr>
        <w:lastRenderedPageBreak/>
        <w:t xml:space="preserve">MUNICIPAL; PARTICIPACIÓN CIUDADANA Y VECINAL; REGLAMENTOS Y GOBERNACIÓN. </w:t>
      </w:r>
    </w:p>
    <w:p w:rsidR="00A77C61" w:rsidRPr="00C04F06" w:rsidRDefault="00A77C61" w:rsidP="00A77C61">
      <w:pPr>
        <w:spacing w:after="0" w:line="240" w:lineRule="auto"/>
        <w:jc w:val="both"/>
        <w:rPr>
          <w:rFonts w:ascii="Arial" w:eastAsia="Times New Roman" w:hAnsi="Arial" w:cs="Arial"/>
          <w:sz w:val="24"/>
          <w:szCs w:val="24"/>
          <w:lang w:val="es-ES" w:eastAsia="es-ES"/>
        </w:rPr>
      </w:pPr>
    </w:p>
    <w:p w:rsidR="00A77C61" w:rsidRPr="00C04F06" w:rsidRDefault="00A77C61" w:rsidP="00A77C61">
      <w:pPr>
        <w:spacing w:after="0" w:line="240" w:lineRule="auto"/>
        <w:ind w:firstLine="708"/>
        <w:jc w:val="both"/>
        <w:rPr>
          <w:rFonts w:ascii="Arial" w:eastAsia="Times New Roman" w:hAnsi="Arial" w:cs="Arial"/>
          <w:sz w:val="24"/>
          <w:szCs w:val="24"/>
          <w:lang w:val="es-ES" w:eastAsia="es-ES"/>
        </w:rPr>
      </w:pPr>
      <w:r w:rsidRPr="00C04F06">
        <w:rPr>
          <w:rFonts w:ascii="Arial" w:eastAsia="Times New Roman" w:hAnsi="Arial" w:cs="Arial"/>
          <w:sz w:val="24"/>
          <w:szCs w:val="24"/>
          <w:lang w:val="es-ES" w:eastAsia="es-ES"/>
        </w:rPr>
        <w:t xml:space="preserve">3.- Clausura </w:t>
      </w:r>
    </w:p>
    <w:p w:rsidR="00A77C61" w:rsidRPr="00C04F06" w:rsidRDefault="00A77C61" w:rsidP="00A77C61">
      <w:pPr>
        <w:spacing w:after="0" w:line="240" w:lineRule="auto"/>
        <w:ind w:firstLine="708"/>
        <w:jc w:val="both"/>
        <w:rPr>
          <w:rFonts w:ascii="Arial" w:eastAsia="Times New Roman" w:hAnsi="Arial" w:cs="Arial"/>
          <w:sz w:val="24"/>
          <w:szCs w:val="24"/>
          <w:lang w:val="es-ES" w:eastAsia="es-ES"/>
        </w:rPr>
      </w:pPr>
    </w:p>
    <w:p w:rsidR="00A77C61" w:rsidRPr="00C04F06" w:rsidRDefault="00A77C61" w:rsidP="00A77C6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val="es-ES" w:eastAsia="es-ES"/>
        </w:rPr>
      </w:pPr>
      <w:r w:rsidRPr="00C04F06">
        <w:rPr>
          <w:rFonts w:ascii="Arial" w:eastAsia="Times New Roman" w:hAnsi="Arial" w:cs="Arial"/>
          <w:b/>
          <w:sz w:val="24"/>
          <w:szCs w:val="24"/>
          <w:lang w:val="es-ES" w:eastAsia="es-ES"/>
        </w:rPr>
        <w:t>DESARROLLO DE LA REUNION</w:t>
      </w:r>
    </w:p>
    <w:p w:rsidR="00A77C61" w:rsidRPr="00C04F06" w:rsidRDefault="00A77C61" w:rsidP="00A77C61">
      <w:pPr>
        <w:spacing w:after="0" w:line="240" w:lineRule="auto"/>
        <w:ind w:firstLine="708"/>
        <w:jc w:val="both"/>
        <w:rPr>
          <w:rFonts w:ascii="Arial" w:eastAsia="Times New Roman" w:hAnsi="Arial" w:cs="Arial"/>
          <w:b/>
          <w:sz w:val="24"/>
          <w:szCs w:val="24"/>
          <w:lang w:val="es-ES" w:eastAsia="es-ES"/>
        </w:rPr>
      </w:pPr>
    </w:p>
    <w:p w:rsidR="00A77C61" w:rsidRPr="00C04F06" w:rsidRDefault="00A77C61" w:rsidP="00A77C61">
      <w:pPr>
        <w:spacing w:after="0" w:line="240" w:lineRule="auto"/>
        <w:jc w:val="both"/>
        <w:rPr>
          <w:rFonts w:ascii="Arial" w:eastAsia="Times New Roman" w:hAnsi="Arial" w:cs="Arial"/>
          <w:sz w:val="24"/>
          <w:szCs w:val="24"/>
          <w:lang w:val="es-ES" w:eastAsia="es-ES"/>
        </w:rPr>
      </w:pPr>
      <w:r w:rsidRPr="00C04F06">
        <w:rPr>
          <w:rFonts w:ascii="Arial" w:eastAsia="Times New Roman" w:hAnsi="Arial" w:cs="Arial"/>
          <w:b/>
          <w:sz w:val="24"/>
          <w:szCs w:val="24"/>
          <w:lang w:val="es-ES" w:eastAsia="es-ES"/>
        </w:rPr>
        <w:t>1.- Lista de Asistencia, declaración de Quorum</w:t>
      </w:r>
      <w:r w:rsidRPr="00C04F06">
        <w:rPr>
          <w:rFonts w:ascii="Arial" w:eastAsia="Times New Roman" w:hAnsi="Arial" w:cs="Arial"/>
          <w:sz w:val="24"/>
          <w:szCs w:val="24"/>
          <w:lang w:val="es-ES" w:eastAsia="es-ES"/>
        </w:rPr>
        <w:t xml:space="preserve"> </w:t>
      </w:r>
      <w:r w:rsidRPr="00C04F06">
        <w:rPr>
          <w:rFonts w:ascii="Arial" w:eastAsia="Times New Roman" w:hAnsi="Arial" w:cs="Arial"/>
          <w:b/>
          <w:sz w:val="24"/>
          <w:szCs w:val="24"/>
          <w:lang w:val="es-ES" w:eastAsia="es-ES"/>
        </w:rPr>
        <w:t>y aprobación del orden del día.-</w:t>
      </w:r>
      <w:r w:rsidRPr="00C04F06">
        <w:rPr>
          <w:rFonts w:ascii="Arial" w:eastAsia="Times New Roman" w:hAnsi="Arial" w:cs="Arial"/>
          <w:sz w:val="24"/>
          <w:szCs w:val="24"/>
          <w:lang w:val="es-ES" w:eastAsia="es-ES"/>
        </w:rPr>
        <w:t xml:space="preserve">  Se pasó lista de asistencia contándose con </w:t>
      </w:r>
      <w:r>
        <w:rPr>
          <w:rFonts w:ascii="Arial" w:eastAsia="Times New Roman" w:hAnsi="Arial" w:cs="Arial"/>
          <w:sz w:val="24"/>
          <w:szCs w:val="24"/>
          <w:lang w:val="es-ES" w:eastAsia="es-ES"/>
        </w:rPr>
        <w:t>la mayoría de los integrantes de dichas comisiones tanto como la convocante y las coadyuvantes, y al mismo tiempo se reciben dos oficios número 218/2016 y 219/2016, para justificar la inasistencia de los regidores Lic. Roberto Mendoza Cárdenas y el Profr. José Luis Villalvazo de la Cruz</w:t>
      </w:r>
      <w:r w:rsidRPr="00C04F06">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respectivamente, por motivo de tener ambos asuntos agendados con anticipación a la entrega del citatorio correspondiente, y con la aprobación a fin de que sean justificadas sus inasistencias, </w:t>
      </w:r>
      <w:r w:rsidRPr="00C04F06">
        <w:rPr>
          <w:rFonts w:ascii="Arial" w:eastAsia="Times New Roman" w:hAnsi="Arial" w:cs="Arial"/>
          <w:sz w:val="24"/>
          <w:szCs w:val="24"/>
          <w:lang w:val="es-ES" w:eastAsia="es-ES"/>
        </w:rPr>
        <w:t xml:space="preserve">se declara que hay Quórum Legal, se somete a consideración el orden del día, votando los asistentes su aprobación. </w:t>
      </w:r>
    </w:p>
    <w:p w:rsidR="00A77C61" w:rsidRPr="00C04F06" w:rsidRDefault="00A77C61" w:rsidP="00A77C61">
      <w:pPr>
        <w:spacing w:after="0" w:line="240" w:lineRule="auto"/>
        <w:ind w:firstLine="708"/>
        <w:jc w:val="both"/>
        <w:rPr>
          <w:rFonts w:ascii="Arial" w:eastAsia="Times New Roman" w:hAnsi="Arial" w:cs="Arial"/>
          <w:sz w:val="24"/>
          <w:szCs w:val="24"/>
          <w:lang w:val="es-ES" w:eastAsia="es-ES"/>
        </w:rPr>
      </w:pPr>
    </w:p>
    <w:p w:rsidR="00A77C61" w:rsidRPr="00D44253" w:rsidRDefault="00A77C61" w:rsidP="00A77C61">
      <w:pPr>
        <w:spacing w:after="0" w:line="240" w:lineRule="auto"/>
        <w:jc w:val="both"/>
        <w:rPr>
          <w:rFonts w:ascii="Arial" w:eastAsia="Times New Roman" w:hAnsi="Arial" w:cs="Arial"/>
          <w:b/>
          <w:sz w:val="24"/>
          <w:szCs w:val="24"/>
          <w:lang w:val="es-ES" w:eastAsia="es-ES"/>
        </w:rPr>
      </w:pPr>
      <w:r w:rsidRPr="00C04F06">
        <w:rPr>
          <w:rFonts w:ascii="Arial" w:eastAsia="Times New Roman" w:hAnsi="Arial" w:cs="Arial"/>
          <w:b/>
          <w:sz w:val="24"/>
          <w:szCs w:val="24"/>
          <w:lang w:val="es-ES" w:eastAsia="es-ES"/>
        </w:rPr>
        <w:t xml:space="preserve">2.- Desahogo del siguiente punto: </w:t>
      </w:r>
      <w:r w:rsidRPr="00C04F06">
        <w:rPr>
          <w:rFonts w:ascii="Arial" w:eastAsia="Times New Roman" w:hAnsi="Arial" w:cs="Arial"/>
          <w:sz w:val="24"/>
          <w:szCs w:val="24"/>
          <w:lang w:val="es-ES" w:eastAsia="es-ES"/>
        </w:rPr>
        <w:t>El motivo de esta reunión es el</w:t>
      </w:r>
      <w:r w:rsidRPr="00C04F06">
        <w:rPr>
          <w:rFonts w:ascii="Arial" w:eastAsia="Times New Roman" w:hAnsi="Arial" w:cs="Arial"/>
          <w:b/>
          <w:sz w:val="24"/>
          <w:szCs w:val="24"/>
          <w:lang w:val="es-ES" w:eastAsia="es-ES"/>
        </w:rPr>
        <w:t xml:space="preserve"> </w:t>
      </w:r>
      <w:r w:rsidRPr="00C04F06">
        <w:rPr>
          <w:rFonts w:ascii="Arial" w:eastAsia="Times New Roman" w:hAnsi="Arial" w:cs="Arial"/>
          <w:sz w:val="24"/>
          <w:szCs w:val="24"/>
          <w:lang w:eastAsia="es-ES"/>
        </w:rPr>
        <w:t>Análisis de INICIATIVA DE ACUERDO ECON</w:t>
      </w:r>
      <w:r>
        <w:rPr>
          <w:rFonts w:ascii="Arial" w:eastAsia="Times New Roman" w:hAnsi="Arial" w:cs="Arial"/>
          <w:sz w:val="24"/>
          <w:szCs w:val="24"/>
          <w:lang w:eastAsia="es-ES"/>
        </w:rPr>
        <w:t xml:space="preserve">ÓMICO QUE TURNA A COMISIONES </w:t>
      </w:r>
      <w:r w:rsidRPr="004C4E8A">
        <w:rPr>
          <w:rFonts w:ascii="Arial" w:eastAsia="Times New Roman" w:hAnsi="Arial" w:cs="Arial"/>
          <w:sz w:val="24"/>
          <w:szCs w:val="24"/>
          <w:lang w:eastAsia="es-ES"/>
        </w:rPr>
        <w:t>el día 23 de septiembre y del 21 de Diciembre del 2015, relativo sobre una iniciativa de acuerdo económico sobre estructuras de Telecomunicación turnado a las COMISIONES EDILICIAS DE OBRAS PÚBLICAS, PLANEACIÓN URBANA Y REGULARIZACIÓN DE LA TENENCIA DE LA TIERRA; HACIENDA PÚBLICA Y DE PATRIMONIO MUNICIPAL; PARTICIPACIÓN CIUDADANA Y VECINAL; REGLAMENTOS Y GOBERNACI</w:t>
      </w:r>
      <w:r>
        <w:rPr>
          <w:rFonts w:ascii="Arial" w:eastAsia="Times New Roman" w:hAnsi="Arial" w:cs="Arial"/>
          <w:sz w:val="24"/>
          <w:szCs w:val="24"/>
          <w:lang w:eastAsia="es-ES"/>
        </w:rPr>
        <w:t>ÓN</w:t>
      </w:r>
      <w:r w:rsidRPr="00C04F06">
        <w:rPr>
          <w:rFonts w:ascii="Arial" w:eastAsia="Times New Roman" w:hAnsi="Arial" w:cs="Arial"/>
          <w:sz w:val="24"/>
          <w:szCs w:val="24"/>
          <w:lang w:eastAsia="es-ES"/>
        </w:rPr>
        <w:t xml:space="preserve">, </w:t>
      </w:r>
      <w:r w:rsidRPr="00C04F06">
        <w:rPr>
          <w:rFonts w:ascii="Arial" w:eastAsia="Calibri" w:hAnsi="Arial" w:cs="Arial"/>
          <w:bCs/>
          <w:iCs/>
          <w:sz w:val="24"/>
          <w:szCs w:val="28"/>
          <w:lang w:val="es-ES"/>
        </w:rPr>
        <w:t xml:space="preserve">y </w:t>
      </w:r>
      <w:r w:rsidRPr="00203B7A">
        <w:rPr>
          <w:rFonts w:ascii="Arial" w:eastAsia="Calibri" w:hAnsi="Arial" w:cs="Arial"/>
          <w:bCs/>
          <w:iCs/>
          <w:sz w:val="24"/>
          <w:szCs w:val="28"/>
          <w:lang w:val="es-ES"/>
        </w:rPr>
        <w:t>en su caso Dictaminación, para aprobación ante el pleno del Ayuntamiento a fin de aprobar la colocación de estructuras de telecomunicaciones tipo luminaria en lugares estratégicos de la ciudad</w:t>
      </w:r>
      <w:r w:rsidRPr="00203B7A">
        <w:rPr>
          <w:rFonts w:ascii="Arial" w:eastAsia="Times New Roman" w:hAnsi="Arial" w:cs="Arial"/>
          <w:sz w:val="24"/>
          <w:szCs w:val="24"/>
          <w:lang w:val="es-ES" w:eastAsia="es-ES"/>
        </w:rPr>
        <w:t xml:space="preserve">, así mismo les expongo los dictámenes técnicos que se me han turnado con iniciativa, así como el desglose de los documentos anexos presentados por las empresas </w:t>
      </w:r>
      <w:r w:rsidRPr="00C04F06">
        <w:rPr>
          <w:rFonts w:ascii="Arial" w:eastAsia="Times New Roman" w:hAnsi="Arial" w:cs="Arial"/>
          <w:sz w:val="24"/>
          <w:szCs w:val="24"/>
          <w:lang w:val="es-ES" w:eastAsia="es-ES"/>
        </w:rPr>
        <w:t xml:space="preserve">correspondientes. </w:t>
      </w:r>
    </w:p>
    <w:p w:rsidR="00A77C61" w:rsidRPr="00C04F06" w:rsidRDefault="00A77C61" w:rsidP="00A77C61">
      <w:pPr>
        <w:spacing w:after="0" w:line="240" w:lineRule="auto"/>
        <w:ind w:firstLine="708"/>
        <w:jc w:val="both"/>
        <w:rPr>
          <w:rFonts w:ascii="Arial" w:eastAsia="Times New Roman" w:hAnsi="Arial" w:cs="Arial"/>
          <w:sz w:val="24"/>
          <w:szCs w:val="24"/>
          <w:lang w:val="es-ES" w:eastAsia="es-ES"/>
        </w:rPr>
      </w:pPr>
    </w:p>
    <w:p w:rsidR="00A77C61" w:rsidRPr="005E6387" w:rsidRDefault="00A77C61" w:rsidP="00A77C61">
      <w:pPr>
        <w:spacing w:after="0" w:line="240" w:lineRule="auto"/>
        <w:jc w:val="both"/>
        <w:rPr>
          <w:rFonts w:ascii="Arial" w:eastAsia="Times New Roman" w:hAnsi="Arial" w:cs="Arial"/>
          <w:iCs/>
          <w:sz w:val="24"/>
          <w:szCs w:val="24"/>
          <w:lang w:eastAsia="es-ES"/>
        </w:rPr>
      </w:pPr>
      <w:r w:rsidRPr="005E6387">
        <w:rPr>
          <w:rFonts w:ascii="Arial" w:eastAsia="Times New Roman" w:hAnsi="Arial" w:cs="Arial"/>
          <w:iCs/>
          <w:sz w:val="24"/>
          <w:szCs w:val="24"/>
          <w:lang w:eastAsia="es-ES"/>
        </w:rPr>
        <w:t xml:space="preserve">Mediante </w:t>
      </w:r>
      <w:r w:rsidRPr="005E6387">
        <w:rPr>
          <w:rFonts w:ascii="Arial" w:eastAsia="Times New Roman" w:hAnsi="Arial" w:cs="Arial"/>
          <w:b/>
          <w:iCs/>
          <w:sz w:val="24"/>
          <w:szCs w:val="24"/>
          <w:u w:val="single"/>
          <w:lang w:eastAsia="es-ES"/>
        </w:rPr>
        <w:t>Sesión Ordinaria número 34 treinta y cuatro del día 23 veintitrés de Septiembre del año 2015 dos mil quince</w:t>
      </w:r>
      <w:r w:rsidRPr="005E6387">
        <w:rPr>
          <w:rFonts w:ascii="Arial" w:eastAsia="Times New Roman" w:hAnsi="Arial" w:cs="Arial"/>
          <w:iCs/>
          <w:sz w:val="24"/>
          <w:szCs w:val="24"/>
          <w:lang w:eastAsia="es-ES"/>
        </w:rPr>
        <w:t xml:space="preserve">, en el </w:t>
      </w:r>
      <w:r w:rsidRPr="005E6387">
        <w:rPr>
          <w:rFonts w:ascii="Arial" w:eastAsia="Times New Roman" w:hAnsi="Arial" w:cs="Arial"/>
          <w:b/>
          <w:iCs/>
          <w:sz w:val="24"/>
          <w:szCs w:val="24"/>
          <w:u w:val="single"/>
          <w:lang w:eastAsia="es-ES"/>
        </w:rPr>
        <w:t>duodécimo punto</w:t>
      </w:r>
      <w:r w:rsidRPr="005E6387">
        <w:rPr>
          <w:rFonts w:ascii="Arial" w:eastAsia="Times New Roman" w:hAnsi="Arial" w:cs="Arial"/>
          <w:iCs/>
          <w:sz w:val="24"/>
          <w:szCs w:val="24"/>
          <w:lang w:eastAsia="es-ES"/>
        </w:rPr>
        <w:t xml:space="preserve">, el entonces regidor </w:t>
      </w:r>
      <w:r w:rsidRPr="005E6387">
        <w:rPr>
          <w:rFonts w:ascii="Arial" w:eastAsia="Times New Roman" w:hAnsi="Arial" w:cs="Arial"/>
          <w:b/>
          <w:iCs/>
          <w:sz w:val="24"/>
          <w:szCs w:val="24"/>
          <w:lang w:eastAsia="es-ES"/>
        </w:rPr>
        <w:t>LIC. RICARDO MILANEZ ORTEGA</w:t>
      </w:r>
      <w:r w:rsidRPr="005E6387">
        <w:rPr>
          <w:rFonts w:ascii="Arial" w:eastAsia="Times New Roman" w:hAnsi="Arial" w:cs="Arial"/>
          <w:iCs/>
          <w:sz w:val="24"/>
          <w:szCs w:val="24"/>
          <w:lang w:eastAsia="es-ES"/>
        </w:rPr>
        <w:t>, quien presidia la Comisión Edilicia de Obras Públicas, Planeación Urbana y Regularización de la Tenencia de la Tierra, en la Administración Pública inmediata anterior, presentó una iniciativa de acuerdo económico que turna a comisiones, la solicitud de empresas “</w:t>
      </w:r>
      <w:r w:rsidRPr="005E6387">
        <w:rPr>
          <w:rFonts w:ascii="Arial" w:eastAsia="Times New Roman" w:hAnsi="Arial" w:cs="Arial"/>
          <w:b/>
          <w:bCs/>
          <w:iCs/>
          <w:sz w:val="24"/>
          <w:szCs w:val="24"/>
          <w:lang w:eastAsia="es-ES"/>
        </w:rPr>
        <w:t>Centennial Twr México S. A de C.V.</w:t>
      </w:r>
      <w:r w:rsidRPr="005E6387">
        <w:rPr>
          <w:rFonts w:ascii="Arial" w:eastAsia="Times New Roman" w:hAnsi="Arial" w:cs="Arial"/>
          <w:iCs/>
          <w:sz w:val="24"/>
          <w:szCs w:val="24"/>
          <w:lang w:eastAsia="es-ES"/>
        </w:rPr>
        <w:t>” y “</w:t>
      </w:r>
      <w:r w:rsidRPr="005E6387">
        <w:rPr>
          <w:rFonts w:ascii="Arial" w:eastAsia="Times New Roman" w:hAnsi="Arial" w:cs="Arial"/>
          <w:b/>
          <w:bCs/>
          <w:iCs/>
          <w:sz w:val="24"/>
          <w:szCs w:val="24"/>
          <w:lang w:eastAsia="es-ES"/>
        </w:rPr>
        <w:t>Productos y servicios especializados</w:t>
      </w:r>
      <w:r w:rsidRPr="005E6387">
        <w:rPr>
          <w:rFonts w:ascii="Arial" w:eastAsia="Times New Roman" w:hAnsi="Arial" w:cs="Arial"/>
          <w:iCs/>
          <w:sz w:val="24"/>
          <w:szCs w:val="24"/>
          <w:lang w:eastAsia="es-ES"/>
        </w:rPr>
        <w:t xml:space="preserve">, </w:t>
      </w:r>
      <w:r w:rsidRPr="005E6387">
        <w:rPr>
          <w:rFonts w:ascii="Arial" w:eastAsia="Times New Roman" w:hAnsi="Arial" w:cs="Arial"/>
          <w:b/>
          <w:bCs/>
          <w:iCs/>
          <w:sz w:val="24"/>
          <w:szCs w:val="24"/>
          <w:lang w:eastAsia="es-ES"/>
        </w:rPr>
        <w:t xml:space="preserve">M&amp;MS. de R.L. de C.V” </w:t>
      </w:r>
      <w:r w:rsidRPr="005E6387">
        <w:rPr>
          <w:rFonts w:ascii="Arial" w:eastAsia="Times New Roman" w:hAnsi="Arial" w:cs="Arial"/>
          <w:iCs/>
          <w:sz w:val="24"/>
          <w:szCs w:val="24"/>
          <w:lang w:eastAsia="es-ES"/>
        </w:rPr>
        <w:t xml:space="preserve"> para gestionar la colocación de estructuras de telecomunicación en lugares estratégicos de la ciudad, en la que se presentaron las propuestas de dos empresas,  por las que mediante oficios números 0896/08/2015 y 906/09/2015, se realizaron </w:t>
      </w:r>
      <w:r w:rsidRPr="005E6387">
        <w:rPr>
          <w:rFonts w:ascii="Arial" w:eastAsia="Times New Roman" w:hAnsi="Arial" w:cs="Arial"/>
          <w:b/>
          <w:iCs/>
          <w:sz w:val="24"/>
          <w:szCs w:val="24"/>
          <w:u w:val="single"/>
          <w:lang w:eastAsia="es-ES"/>
        </w:rPr>
        <w:t>DOS DICTÁMENES TÉCNICO-LEGAL</w:t>
      </w:r>
      <w:r w:rsidRPr="005E6387">
        <w:rPr>
          <w:rFonts w:ascii="Arial" w:eastAsia="Times New Roman" w:hAnsi="Arial" w:cs="Arial"/>
          <w:iCs/>
          <w:sz w:val="24"/>
          <w:szCs w:val="24"/>
          <w:lang w:eastAsia="es-ES"/>
        </w:rPr>
        <w:t xml:space="preserve"> por el entonces </w:t>
      </w:r>
      <w:r w:rsidRPr="005E6387">
        <w:rPr>
          <w:rFonts w:ascii="Arial" w:eastAsia="Times New Roman" w:hAnsi="Arial" w:cs="Arial"/>
          <w:b/>
          <w:iCs/>
          <w:sz w:val="24"/>
          <w:szCs w:val="24"/>
          <w:lang w:eastAsia="es-ES"/>
        </w:rPr>
        <w:t>DIRECTOR DE OBRAS PÚBLICAS Y DESARROLLO URBANO MUNICIPAL ARQ. JOSÉ MIGUEL BAEZA ALCARAZ</w:t>
      </w:r>
      <w:r w:rsidRPr="005E6387">
        <w:rPr>
          <w:rFonts w:ascii="Arial" w:eastAsia="Times New Roman" w:hAnsi="Arial" w:cs="Arial"/>
          <w:iCs/>
          <w:sz w:val="24"/>
          <w:szCs w:val="24"/>
          <w:lang w:eastAsia="es-ES"/>
        </w:rPr>
        <w:t>, los mismos que hizo llegar a la Comisión de Obras Públicas, Planeación Urbana y Regularización de la Tenencia de la Tierra, la solicitud con la exposición de los sustentos técnicos-legales para ilustrar las propuestas de las empresas  “</w:t>
      </w:r>
      <w:r w:rsidRPr="005E6387">
        <w:rPr>
          <w:rFonts w:ascii="Arial" w:eastAsia="Times New Roman" w:hAnsi="Arial" w:cs="Arial"/>
          <w:b/>
          <w:bCs/>
          <w:iCs/>
          <w:sz w:val="24"/>
          <w:szCs w:val="24"/>
          <w:lang w:eastAsia="es-ES"/>
        </w:rPr>
        <w:t>Centennial Twr México S. A de C.V.</w:t>
      </w:r>
      <w:r w:rsidRPr="005E6387">
        <w:rPr>
          <w:rFonts w:ascii="Arial" w:eastAsia="Times New Roman" w:hAnsi="Arial" w:cs="Arial"/>
          <w:iCs/>
          <w:sz w:val="24"/>
          <w:szCs w:val="24"/>
          <w:lang w:eastAsia="es-ES"/>
        </w:rPr>
        <w:t>” y “</w:t>
      </w:r>
      <w:r w:rsidRPr="005E6387">
        <w:rPr>
          <w:rFonts w:ascii="Arial" w:eastAsia="Times New Roman" w:hAnsi="Arial" w:cs="Arial"/>
          <w:b/>
          <w:bCs/>
          <w:iCs/>
          <w:sz w:val="24"/>
          <w:szCs w:val="24"/>
          <w:lang w:eastAsia="es-ES"/>
        </w:rPr>
        <w:t>Productos y servicios especializados</w:t>
      </w:r>
      <w:r w:rsidRPr="005E6387">
        <w:rPr>
          <w:rFonts w:ascii="Arial" w:eastAsia="Times New Roman" w:hAnsi="Arial" w:cs="Arial"/>
          <w:iCs/>
          <w:sz w:val="24"/>
          <w:szCs w:val="24"/>
          <w:lang w:eastAsia="es-ES"/>
        </w:rPr>
        <w:t xml:space="preserve">, </w:t>
      </w:r>
      <w:r w:rsidRPr="005E6387">
        <w:rPr>
          <w:rFonts w:ascii="Arial" w:eastAsia="Times New Roman" w:hAnsi="Arial" w:cs="Arial"/>
          <w:b/>
          <w:bCs/>
          <w:iCs/>
          <w:sz w:val="24"/>
          <w:szCs w:val="24"/>
          <w:lang w:eastAsia="es-ES"/>
        </w:rPr>
        <w:t xml:space="preserve">M&amp;MS. de R.L. de C.V”, </w:t>
      </w:r>
      <w:r w:rsidRPr="005E6387">
        <w:rPr>
          <w:rFonts w:ascii="Arial" w:eastAsia="Times New Roman" w:hAnsi="Arial" w:cs="Arial"/>
          <w:iCs/>
          <w:sz w:val="24"/>
          <w:szCs w:val="24"/>
          <w:lang w:eastAsia="es-ES"/>
        </w:rPr>
        <w:t>quienes peticionan la autorización para poder instalar mediante un contrato de arrendamiento de estructura de telecomunicación tipo luminaria, en los espacios públicos que se listan y describen a continuación conforme a la Iniciativa de acuerdo económico presentada por el ex regidor Lic. Ricardo Milanez Ortega y el anterior Director de Obras Públicas y Desarrollo Urbano Municipal Arq. José Miguel Baeza Alcaraz, que a la letra se inserta la descripción de dichas áreas solicitadas y a la letra menciona:</w:t>
      </w: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bCs/>
          <w:i/>
          <w:iCs/>
          <w:sz w:val="24"/>
          <w:szCs w:val="24"/>
          <w:lang w:eastAsia="es-ES"/>
        </w:rPr>
      </w:pPr>
      <w:r w:rsidRPr="005E6387">
        <w:rPr>
          <w:rFonts w:ascii="Arial" w:eastAsia="Times New Roman" w:hAnsi="Arial" w:cs="Arial"/>
          <w:b/>
          <w:bCs/>
          <w:i/>
          <w:iCs/>
          <w:sz w:val="24"/>
          <w:szCs w:val="24"/>
          <w:lang w:eastAsia="es-ES"/>
        </w:rPr>
        <w:t>“………</w:t>
      </w:r>
      <w:r w:rsidRPr="005E6387">
        <w:rPr>
          <w:rFonts w:ascii="Arial" w:eastAsia="Times New Roman" w:hAnsi="Arial" w:cs="Arial"/>
          <w:b/>
          <w:bCs/>
          <w:i/>
          <w:iCs/>
          <w:sz w:val="24"/>
          <w:szCs w:val="24"/>
          <w:u w:val="single"/>
          <w:lang w:eastAsia="es-ES"/>
        </w:rPr>
        <w:t>CENTENNIAL TWR MÉXICO S. A DE C.V</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 xml:space="preserve"> quienes </w:t>
      </w:r>
      <w:r w:rsidRPr="005E6387">
        <w:rPr>
          <w:rFonts w:ascii="Arial" w:eastAsia="Times New Roman" w:hAnsi="Arial" w:cs="Arial"/>
          <w:bCs/>
          <w:i/>
          <w:iCs/>
          <w:sz w:val="24"/>
          <w:szCs w:val="24"/>
          <w:lang w:eastAsia="es-ES"/>
        </w:rPr>
        <w:t xml:space="preserve">solicita los siguientes espacios: </w:t>
      </w:r>
    </w:p>
    <w:p w:rsidR="00A77C61" w:rsidRPr="005E6387" w:rsidRDefault="00A77C61" w:rsidP="00A77C61">
      <w:pPr>
        <w:spacing w:after="0" w:line="240" w:lineRule="auto"/>
        <w:ind w:firstLine="708"/>
        <w:jc w:val="both"/>
        <w:rPr>
          <w:rFonts w:ascii="Arial" w:eastAsia="Times New Roman" w:hAnsi="Arial" w:cs="Arial"/>
          <w:b/>
          <w:bCs/>
          <w:i/>
          <w:iCs/>
          <w:sz w:val="24"/>
          <w:szCs w:val="24"/>
          <w:lang w:eastAsia="es-ES"/>
        </w:rPr>
      </w:pPr>
    </w:p>
    <w:p w:rsidR="00A77C61" w:rsidRPr="005E6387" w:rsidRDefault="00A77C61" w:rsidP="00A77C61">
      <w:pPr>
        <w:numPr>
          <w:ilvl w:val="0"/>
          <w:numId w:val="1"/>
        </w:numPr>
        <w:spacing w:after="0" w:line="240" w:lineRule="auto"/>
        <w:jc w:val="both"/>
        <w:rPr>
          <w:rFonts w:ascii="Arial" w:eastAsia="Times New Roman" w:hAnsi="Arial" w:cs="Arial"/>
          <w:i/>
          <w:iCs/>
          <w:sz w:val="24"/>
          <w:szCs w:val="24"/>
          <w:lang w:eastAsia="es-ES"/>
        </w:rPr>
      </w:pPr>
      <w:r w:rsidRPr="005E6387">
        <w:rPr>
          <w:rFonts w:ascii="Arial" w:eastAsia="Times New Roman" w:hAnsi="Arial" w:cs="Arial"/>
          <w:i/>
          <w:iCs/>
          <w:sz w:val="24"/>
          <w:szCs w:val="24"/>
          <w:lang w:eastAsia="es-ES"/>
        </w:rPr>
        <w:t xml:space="preserve">El primer predio propuesto se encuentra ubicado en la </w:t>
      </w:r>
      <w:r w:rsidRPr="005E6387">
        <w:rPr>
          <w:rFonts w:ascii="Arial" w:eastAsia="Times New Roman" w:hAnsi="Arial" w:cs="Arial"/>
          <w:b/>
          <w:bCs/>
          <w:i/>
          <w:iCs/>
          <w:sz w:val="24"/>
          <w:szCs w:val="24"/>
          <w:lang w:eastAsia="es-ES"/>
        </w:rPr>
        <w:t>calle Esteban Vaca Calderón, colonia Constituyentes</w:t>
      </w:r>
      <w:r w:rsidRPr="005E6387">
        <w:rPr>
          <w:rFonts w:ascii="Arial" w:eastAsia="Times New Roman" w:hAnsi="Arial" w:cs="Arial"/>
          <w:i/>
          <w:iCs/>
          <w:sz w:val="24"/>
          <w:szCs w:val="24"/>
          <w:lang w:eastAsia="es-ES"/>
        </w:rPr>
        <w:t>, de esta ciudad. - - - - - - - - - - - - - - - - - - -  - - -  - -</w:t>
      </w: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noProof/>
          <w:sz w:val="24"/>
          <w:szCs w:val="24"/>
          <w:lang w:eastAsia="es-MX"/>
        </w:rPr>
        <w:drawing>
          <wp:inline distT="0" distB="0" distL="0" distR="0" wp14:anchorId="44DAF62D" wp14:editId="1F22E34F">
            <wp:extent cx="5076825" cy="2410579"/>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5434" cy="2414667"/>
                    </a:xfrm>
                    <a:prstGeom prst="rect">
                      <a:avLst/>
                    </a:prstGeom>
                    <a:noFill/>
                    <a:ln>
                      <a:noFill/>
                    </a:ln>
                  </pic:spPr>
                </pic:pic>
              </a:graphicData>
            </a:graphic>
          </wp:inline>
        </w:drawing>
      </w: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sz w:val="24"/>
          <w:szCs w:val="24"/>
          <w:lang w:eastAsia="es-ES"/>
        </w:rPr>
        <w:t xml:space="preserve">Predio clasificado como </w:t>
      </w:r>
      <w:r w:rsidRPr="005E6387">
        <w:rPr>
          <w:rFonts w:ascii="Arial" w:eastAsia="Times New Roman" w:hAnsi="Arial" w:cs="Arial"/>
          <w:b/>
          <w:bCs/>
          <w:i/>
          <w:iCs/>
          <w:sz w:val="24"/>
          <w:szCs w:val="24"/>
          <w:lang w:eastAsia="es-ES"/>
        </w:rPr>
        <w:t xml:space="preserve">(AU, EV, 03) </w:t>
      </w:r>
      <w:r w:rsidRPr="005E6387">
        <w:rPr>
          <w:rFonts w:ascii="Arial" w:eastAsia="Times New Roman" w:hAnsi="Arial" w:cs="Arial"/>
          <w:i/>
          <w:iCs/>
          <w:sz w:val="24"/>
          <w:szCs w:val="24"/>
          <w:lang w:eastAsia="es-ES"/>
        </w:rPr>
        <w:t xml:space="preserve">Área Urbana </w:t>
      </w:r>
      <w:r w:rsidRPr="005E6387">
        <w:rPr>
          <w:rFonts w:ascii="Arial" w:eastAsia="Times New Roman" w:hAnsi="Arial" w:cs="Arial"/>
          <w:b/>
          <w:bCs/>
          <w:i/>
          <w:iCs/>
          <w:sz w:val="24"/>
          <w:szCs w:val="24"/>
          <w:lang w:eastAsia="es-ES"/>
        </w:rPr>
        <w:t xml:space="preserve">(AU) Espacio Verde Abierto </w:t>
      </w:r>
      <w:r w:rsidRPr="005E6387">
        <w:rPr>
          <w:rFonts w:ascii="Arial" w:eastAsia="Times New Roman" w:hAnsi="Arial" w:cs="Arial"/>
          <w:i/>
          <w:iCs/>
          <w:sz w:val="24"/>
          <w:szCs w:val="24"/>
          <w:lang w:eastAsia="es-ES"/>
        </w:rPr>
        <w:t xml:space="preserve">de conformidad al Plan de Desarrollo Urbano de Centro de Población Zapotlán El Grande, Distrito 1 Ciudad Guzmán, Sub-distrito 5 Constituyentes. El predio se tiene identificado como </w:t>
      </w:r>
      <w:r w:rsidRPr="005E6387">
        <w:rPr>
          <w:rFonts w:ascii="Arial" w:eastAsia="Times New Roman" w:hAnsi="Arial" w:cs="Arial"/>
          <w:b/>
          <w:bCs/>
          <w:i/>
          <w:iCs/>
          <w:sz w:val="24"/>
          <w:szCs w:val="24"/>
          <w:lang w:eastAsia="es-ES"/>
        </w:rPr>
        <w:t>AREA</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 xml:space="preserve">DE CESION PARA DESTINOS </w:t>
      </w:r>
      <w:r w:rsidRPr="005E6387">
        <w:rPr>
          <w:rFonts w:ascii="Arial" w:eastAsia="Times New Roman" w:hAnsi="Arial" w:cs="Arial"/>
          <w:i/>
          <w:iCs/>
          <w:sz w:val="24"/>
          <w:szCs w:val="24"/>
          <w:lang w:eastAsia="es-ES"/>
        </w:rPr>
        <w:t>de la colonia Constituyentes, forma parte de la propiedad municipal de Zapotlán El Grande, Jalisco, dicho inmueble tiene una superficie aproximada de 4,551.00 metros cuadrados y sus colindancias son: norte 38.37m con la calle Joaquín Aguirre; sur 68.05 m con la calle Heriberto Lara; este 86.13 m con la calle Esteban Cabrían; oeste 90.94 m con la calle Ramón Castañeda</w:t>
      </w: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b/>
          <w:bCs/>
          <w:i/>
          <w:iCs/>
          <w:sz w:val="24"/>
          <w:szCs w:val="24"/>
          <w:lang w:eastAsia="es-ES"/>
        </w:rPr>
        <w:t xml:space="preserve">2.- </w:t>
      </w:r>
      <w:r w:rsidRPr="005E6387">
        <w:rPr>
          <w:rFonts w:ascii="Arial" w:eastAsia="Times New Roman" w:hAnsi="Arial" w:cs="Arial"/>
          <w:i/>
          <w:iCs/>
          <w:sz w:val="24"/>
          <w:szCs w:val="24"/>
          <w:lang w:eastAsia="es-ES"/>
        </w:rPr>
        <w:t xml:space="preserve">Este segundo predio propuesto se </w:t>
      </w:r>
      <w:r w:rsidRPr="005E6387">
        <w:rPr>
          <w:rFonts w:ascii="Arial" w:eastAsia="Times New Roman" w:hAnsi="Arial" w:cs="Arial"/>
          <w:b/>
          <w:bCs/>
          <w:i/>
          <w:iCs/>
          <w:sz w:val="24"/>
          <w:szCs w:val="24"/>
          <w:lang w:eastAsia="es-ES"/>
        </w:rPr>
        <w:t>ubica en la Calle General</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Manuel Monasterio Diéguez, Fraccionamiento Los</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 xml:space="preserve">Encinos </w:t>
      </w:r>
      <w:r w:rsidRPr="005E6387">
        <w:rPr>
          <w:rFonts w:ascii="Arial" w:eastAsia="Times New Roman" w:hAnsi="Arial" w:cs="Arial"/>
          <w:i/>
          <w:iCs/>
          <w:sz w:val="24"/>
          <w:szCs w:val="24"/>
          <w:lang w:eastAsia="es-ES"/>
        </w:rPr>
        <w:t xml:space="preserve">de esta ciudad. - - - - - - - - - - - - - - </w:t>
      </w: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noProof/>
          <w:sz w:val="24"/>
          <w:szCs w:val="24"/>
          <w:lang w:eastAsia="es-MX"/>
        </w:rPr>
        <w:drawing>
          <wp:inline distT="0" distB="0" distL="0" distR="0" wp14:anchorId="187701B4" wp14:editId="28890C1E">
            <wp:extent cx="4552950" cy="214564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537" cy="2148277"/>
                    </a:xfrm>
                    <a:prstGeom prst="rect">
                      <a:avLst/>
                    </a:prstGeom>
                    <a:noFill/>
                    <a:ln>
                      <a:noFill/>
                    </a:ln>
                  </pic:spPr>
                </pic:pic>
              </a:graphicData>
            </a:graphic>
          </wp:inline>
        </w:drawing>
      </w: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b/>
          <w:bCs/>
          <w:i/>
          <w:iCs/>
          <w:sz w:val="24"/>
          <w:szCs w:val="24"/>
          <w:lang w:eastAsia="es-ES"/>
        </w:rPr>
      </w:pPr>
      <w:r w:rsidRPr="005E6387">
        <w:rPr>
          <w:rFonts w:ascii="Arial" w:eastAsia="Times New Roman" w:hAnsi="Arial" w:cs="Arial"/>
          <w:i/>
          <w:iCs/>
          <w:sz w:val="24"/>
          <w:szCs w:val="24"/>
          <w:lang w:eastAsia="es-ES"/>
        </w:rPr>
        <w:t xml:space="preserve">Este segundo inmueble propuesto, está clasificado como </w:t>
      </w:r>
      <w:r w:rsidRPr="005E6387">
        <w:rPr>
          <w:rFonts w:ascii="Arial" w:eastAsia="Times New Roman" w:hAnsi="Arial" w:cs="Arial"/>
          <w:b/>
          <w:bCs/>
          <w:i/>
          <w:iCs/>
          <w:sz w:val="24"/>
          <w:szCs w:val="24"/>
          <w:lang w:eastAsia="es-ES"/>
        </w:rPr>
        <w:t xml:space="preserve">(AU 19, EV-V) </w:t>
      </w:r>
      <w:r w:rsidRPr="005E6387">
        <w:rPr>
          <w:rFonts w:ascii="Arial" w:eastAsia="Times New Roman" w:hAnsi="Arial" w:cs="Arial"/>
          <w:i/>
          <w:iCs/>
          <w:sz w:val="24"/>
          <w:szCs w:val="24"/>
          <w:lang w:eastAsia="es-ES"/>
        </w:rPr>
        <w:t xml:space="preserve">Área Urbana </w:t>
      </w:r>
      <w:r w:rsidRPr="005E6387">
        <w:rPr>
          <w:rFonts w:ascii="Arial" w:eastAsia="Times New Roman" w:hAnsi="Arial" w:cs="Arial"/>
          <w:b/>
          <w:bCs/>
          <w:i/>
          <w:iCs/>
          <w:sz w:val="24"/>
          <w:szCs w:val="24"/>
          <w:lang w:eastAsia="es-ES"/>
        </w:rPr>
        <w:t xml:space="preserve">(AU) Espacio Verde Abierto </w:t>
      </w:r>
      <w:r w:rsidRPr="005E6387">
        <w:rPr>
          <w:rFonts w:ascii="Arial" w:eastAsia="Times New Roman" w:hAnsi="Arial" w:cs="Arial"/>
          <w:i/>
          <w:iCs/>
          <w:sz w:val="24"/>
          <w:szCs w:val="24"/>
          <w:lang w:eastAsia="es-ES"/>
        </w:rPr>
        <w:t>y</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Recreativo Vecinal (EV-V)de conformidad al Plan de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Desarrollo Urbano de Centro de Población Zapotlán El</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Grande, Distrito 1 Ciudad Guzmán, Sub-distrito 7 Central</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Camionera, identificado como AREA DE CESION PARA</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DESTINOS de la colonia Los Encinos, forma parte de la</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propiedad municipal de Zapotlán El Grande, Jalisco, tiene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una superficie aproximada de 793.27 metros cuadrados y sus</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colindancias son: norte 33.45 m con vecinos de la colonia Los</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Encinos; sur 39.41 m con la calle Manuel M. Diéguez; este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34.26 m con la calle Paseo de los Abedules; oeste 13.26 m</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con la calle Paseo de los Pinos.</w:t>
      </w: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b/>
          <w:bCs/>
          <w:i/>
          <w:iCs/>
          <w:sz w:val="24"/>
          <w:szCs w:val="24"/>
          <w:lang w:eastAsia="es-ES"/>
        </w:rPr>
        <w:t xml:space="preserve">3.- </w:t>
      </w:r>
      <w:r w:rsidRPr="005E6387">
        <w:rPr>
          <w:rFonts w:ascii="Arial" w:eastAsia="Times New Roman" w:hAnsi="Arial" w:cs="Arial"/>
          <w:i/>
          <w:iCs/>
          <w:sz w:val="24"/>
          <w:szCs w:val="24"/>
          <w:lang w:eastAsia="es-ES"/>
        </w:rPr>
        <w:t xml:space="preserve">El tercer predio propuesto se ubica sobre la calle </w:t>
      </w:r>
      <w:r w:rsidRPr="005E6387">
        <w:rPr>
          <w:rFonts w:ascii="Arial" w:eastAsia="Times New Roman" w:hAnsi="Arial" w:cs="Arial"/>
          <w:b/>
          <w:bCs/>
          <w:i/>
          <w:iCs/>
          <w:sz w:val="24"/>
          <w:szCs w:val="24"/>
          <w:lang w:eastAsia="es-ES"/>
        </w:rPr>
        <w:t>Belisario Domínguez</w:t>
      </w:r>
      <w:r w:rsidRPr="005E6387">
        <w:rPr>
          <w:rFonts w:ascii="Arial" w:eastAsia="Times New Roman" w:hAnsi="Arial" w:cs="Arial"/>
          <w:i/>
          <w:iCs/>
          <w:sz w:val="24"/>
          <w:szCs w:val="24"/>
          <w:lang w:eastAsia="es-ES"/>
        </w:rPr>
        <w:t>, col. Lomas de Zapotlán, de esta ciudad. - - - - - - - - - - - - - - - - - - - - - - - - - - - - - - - - - - - - - - - -</w:t>
      </w: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iCs/>
          <w:noProof/>
          <w:sz w:val="24"/>
          <w:szCs w:val="24"/>
          <w:lang w:eastAsia="es-MX"/>
        </w:rPr>
        <w:drawing>
          <wp:inline distT="0" distB="0" distL="0" distR="0" wp14:anchorId="2CA29771" wp14:editId="74989AE5">
            <wp:extent cx="4369142" cy="21598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7361" cy="2163929"/>
                    </a:xfrm>
                    <a:prstGeom prst="rect">
                      <a:avLst/>
                    </a:prstGeom>
                    <a:noFill/>
                    <a:ln>
                      <a:noFill/>
                    </a:ln>
                  </pic:spPr>
                </pic:pic>
              </a:graphicData>
            </a:graphic>
          </wp:inline>
        </w:drawing>
      </w: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i/>
          <w:iCs/>
          <w:sz w:val="24"/>
          <w:szCs w:val="24"/>
          <w:lang w:eastAsia="es-ES"/>
        </w:rPr>
        <w:t>Localizado entre las calles: Donato Guerra y Prolongación Chamizal y cuenta con una superficie aproximada de 1,401.27 metros cuadrados y tiene las siguientes medidas y colindancias: Norte 43.67 con la calle Donato Guerra; Sur 43.31 metros con Centro Comunitario; Este 32.75 m con propiedad privada; Oeste 32.21 metros con la calle Belisario Domínguez. Tiene un uso de suelo (</w:t>
      </w:r>
      <w:r w:rsidRPr="005E6387">
        <w:rPr>
          <w:rFonts w:ascii="Arial" w:eastAsia="Times New Roman" w:hAnsi="Arial" w:cs="Arial"/>
          <w:b/>
          <w:bCs/>
          <w:i/>
          <w:iCs/>
          <w:sz w:val="24"/>
          <w:szCs w:val="24"/>
          <w:lang w:eastAsia="es-ES"/>
        </w:rPr>
        <w:t>AU 04, EV-B) Área</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Urbana (AU) Espacio Verde Abierto y Recreativo Barrial</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(EV-B)</w:t>
      </w:r>
      <w:r w:rsidRPr="005E6387">
        <w:rPr>
          <w:rFonts w:ascii="Arial" w:eastAsia="Times New Roman" w:hAnsi="Arial" w:cs="Arial"/>
          <w:i/>
          <w:iCs/>
          <w:sz w:val="24"/>
          <w:szCs w:val="24"/>
          <w:lang w:eastAsia="es-ES"/>
        </w:rPr>
        <w:t>de conformidad al Plan de Desarrollo Urbano de Centro de Población Zapotlán El Grande, Distrito 1 Ciudad Guzmán, Sub-distrito 1 Centro Histórico.</w:t>
      </w: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b/>
          <w:bCs/>
          <w:i/>
          <w:iCs/>
          <w:sz w:val="24"/>
          <w:szCs w:val="24"/>
          <w:lang w:eastAsia="es-ES"/>
        </w:rPr>
        <w:t>4.-</w:t>
      </w:r>
      <w:r w:rsidRPr="005E6387">
        <w:rPr>
          <w:rFonts w:ascii="Arial" w:eastAsia="Times New Roman" w:hAnsi="Arial" w:cs="Arial"/>
          <w:i/>
          <w:iCs/>
          <w:sz w:val="24"/>
          <w:szCs w:val="24"/>
          <w:lang w:eastAsia="es-ES"/>
        </w:rPr>
        <w:t xml:space="preserve">El ubicado en calle Tabachines, col. San Pedro, de esta ciudad. - - - - - - - - - - - - - </w:t>
      </w:r>
    </w:p>
    <w:p w:rsidR="00A77C61" w:rsidRPr="008157AA" w:rsidRDefault="00A77C61" w:rsidP="00A77C61">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noProof/>
          <w:sz w:val="24"/>
          <w:szCs w:val="24"/>
          <w:lang w:eastAsia="es-MX"/>
        </w:rPr>
        <w:drawing>
          <wp:inline distT="0" distB="0" distL="0" distR="0" wp14:anchorId="1D7B4306" wp14:editId="1CC6EC2A">
            <wp:extent cx="4638675" cy="23447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7221" cy="2349065"/>
                    </a:xfrm>
                    <a:prstGeom prst="rect">
                      <a:avLst/>
                    </a:prstGeom>
                    <a:noFill/>
                    <a:ln>
                      <a:noFill/>
                    </a:ln>
                  </pic:spPr>
                </pic:pic>
              </a:graphicData>
            </a:graphic>
          </wp:inline>
        </w:drawing>
      </w: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sz w:val="24"/>
          <w:szCs w:val="24"/>
          <w:lang w:eastAsia="es-ES"/>
        </w:rPr>
        <w:t xml:space="preserve">Ubicado entre las calles: Tabachines, Laureles, Pino y San Pedro y cuenta con una superficie aproximada de 2,285.17 metros cuadrados con las siguientes medidas y colindancias: Norte 38.93 m con la calle San Pedro; Sur 30.36 m con la calle Tabachines; Este 66.18 m con la calle Laureles; Oeste 65.91 +m con la calle Pino. Tiene un uso de suelo </w:t>
      </w:r>
      <w:r w:rsidRPr="005E6387">
        <w:rPr>
          <w:rFonts w:ascii="Arial" w:eastAsia="Times New Roman" w:hAnsi="Arial" w:cs="Arial"/>
          <w:b/>
          <w:bCs/>
          <w:i/>
          <w:iCs/>
          <w:sz w:val="24"/>
          <w:szCs w:val="24"/>
          <w:lang w:eastAsia="es-ES"/>
        </w:rPr>
        <w:t>(AU 19, EIV)</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 xml:space="preserve">Área Urbana (AU) Equipamiento Vecinal (EI-V) </w:t>
      </w:r>
      <w:r w:rsidRPr="005E6387">
        <w:rPr>
          <w:rFonts w:ascii="Arial" w:eastAsia="Times New Roman" w:hAnsi="Arial" w:cs="Arial"/>
          <w:i/>
          <w:iCs/>
          <w:sz w:val="24"/>
          <w:szCs w:val="24"/>
          <w:lang w:eastAsia="es-ES"/>
        </w:rPr>
        <w:t>de conformidad al Plan de Desarrollo Urbano de Centro de Población Zapotlán El Grande, Distrito 1 Ciudad Guzmán, Sub-distrito 1 Centro Histórico.</w:t>
      </w: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b/>
          <w:bCs/>
          <w:i/>
          <w:iCs/>
          <w:sz w:val="24"/>
          <w:szCs w:val="24"/>
          <w:lang w:eastAsia="es-ES"/>
        </w:rPr>
      </w:pPr>
      <w:r w:rsidRPr="005E6387">
        <w:rPr>
          <w:rFonts w:ascii="Arial" w:eastAsia="Times New Roman" w:hAnsi="Arial" w:cs="Arial"/>
          <w:b/>
          <w:bCs/>
          <w:i/>
          <w:iCs/>
          <w:sz w:val="24"/>
          <w:szCs w:val="24"/>
          <w:u w:val="single"/>
          <w:lang w:eastAsia="es-ES"/>
        </w:rPr>
        <w:t>PRODUCTOS Y SERVICIOS ESPECIALIZADOS</w:t>
      </w:r>
      <w:r w:rsidRPr="005E6387">
        <w:rPr>
          <w:rFonts w:ascii="Arial" w:eastAsia="Times New Roman" w:hAnsi="Arial" w:cs="Arial"/>
          <w:i/>
          <w:iCs/>
          <w:sz w:val="24"/>
          <w:szCs w:val="24"/>
          <w:u w:val="single"/>
          <w:lang w:eastAsia="es-ES"/>
        </w:rPr>
        <w:t xml:space="preserve">, </w:t>
      </w:r>
      <w:r w:rsidRPr="005E6387">
        <w:rPr>
          <w:rFonts w:ascii="Arial" w:eastAsia="Times New Roman" w:hAnsi="Arial" w:cs="Arial"/>
          <w:b/>
          <w:bCs/>
          <w:i/>
          <w:iCs/>
          <w:sz w:val="24"/>
          <w:szCs w:val="24"/>
          <w:u w:val="single"/>
          <w:lang w:eastAsia="es-ES"/>
        </w:rPr>
        <w:t>M&amp;MS. DE R.L. DE C.V”</w:t>
      </w:r>
      <w:r w:rsidRPr="005E6387">
        <w:rPr>
          <w:rFonts w:ascii="Arial" w:eastAsia="Times New Roman" w:hAnsi="Arial" w:cs="Arial"/>
          <w:b/>
          <w:bCs/>
          <w:i/>
          <w:iCs/>
          <w:sz w:val="24"/>
          <w:szCs w:val="24"/>
          <w:lang w:eastAsia="es-ES"/>
        </w:rPr>
        <w:t>, solicita los siguientes espacios público, que a la letra dice:</w:t>
      </w:r>
    </w:p>
    <w:p w:rsidR="00A77C61" w:rsidRPr="005E6387" w:rsidRDefault="00A77C61" w:rsidP="00A77C61">
      <w:pPr>
        <w:spacing w:after="0" w:line="240" w:lineRule="auto"/>
        <w:ind w:firstLine="708"/>
        <w:jc w:val="both"/>
        <w:rPr>
          <w:rFonts w:ascii="Arial" w:eastAsia="Times New Roman" w:hAnsi="Arial" w:cs="Arial"/>
          <w:b/>
          <w:bCs/>
          <w:i/>
          <w:iCs/>
          <w:sz w:val="24"/>
          <w:szCs w:val="24"/>
          <w:lang w:eastAsia="es-ES"/>
        </w:rPr>
      </w:pPr>
      <w:r w:rsidRPr="005E6387">
        <w:rPr>
          <w:rFonts w:ascii="Arial" w:eastAsia="Times New Roman" w:hAnsi="Arial" w:cs="Arial"/>
          <w:b/>
          <w:bCs/>
          <w:i/>
          <w:iCs/>
          <w:sz w:val="24"/>
          <w:szCs w:val="24"/>
          <w:lang w:eastAsia="es-ES"/>
        </w:rPr>
        <w:t xml:space="preserve">1.- </w:t>
      </w:r>
      <w:r w:rsidRPr="005E6387">
        <w:rPr>
          <w:rFonts w:ascii="Arial" w:eastAsia="Times New Roman" w:hAnsi="Arial" w:cs="Arial"/>
          <w:i/>
          <w:iCs/>
          <w:sz w:val="24"/>
          <w:szCs w:val="24"/>
          <w:lang w:eastAsia="es-ES"/>
        </w:rPr>
        <w:t>El primer predio que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propone la empresa solicitante se encuentra ubicado entre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las calles: Carlos Villaseñor, San Daniel, San Sebastián y</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San Andrés y cuenta con una superficie aproximada de</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8,801.09 metros cuadrados con las siguientes medidas y</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colindancias: Norte 98.89 m con la calle Carlos Villaseñor;</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Sureste 160.65 m con la calle San Sebastián; Noroeste 91.15</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m con la calle San Daniel; Suroeste 39.95m con la calle San</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Andrés y 30.01 m con espacio verde municipal. Tiene un uso</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 xml:space="preserve">de suelo (AU 11, EV-V) Área Urbana (AU) </w:t>
      </w:r>
      <w:r w:rsidRPr="005E6387">
        <w:rPr>
          <w:rFonts w:ascii="Arial" w:eastAsia="Times New Roman" w:hAnsi="Arial" w:cs="Arial"/>
          <w:b/>
          <w:bCs/>
          <w:i/>
          <w:iCs/>
          <w:sz w:val="24"/>
          <w:szCs w:val="24"/>
          <w:lang w:eastAsia="es-ES"/>
        </w:rPr>
        <w:t>Espacio Verde Abierto y Recreativo Vecinal</w:t>
      </w:r>
      <w:r w:rsidRPr="005E6387">
        <w:rPr>
          <w:rFonts w:ascii="Arial" w:eastAsia="Times New Roman" w:hAnsi="Arial" w:cs="Arial"/>
          <w:i/>
          <w:iCs/>
          <w:sz w:val="24"/>
          <w:szCs w:val="24"/>
          <w:lang w:eastAsia="es-ES"/>
        </w:rPr>
        <w:t>(EV-V) de conformidad al Plan</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de Desarrollo Urbano de Centro de Población Zapotlán El</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Grande, Distrito 1 Ciudad Guzmán, Sub-distrito 5</w:t>
      </w:r>
      <w:r w:rsidRPr="005E6387">
        <w:rPr>
          <w:rFonts w:ascii="Arial" w:eastAsia="Times New Roman" w:hAnsi="Arial" w:cs="Arial"/>
          <w:b/>
          <w:bCs/>
          <w:i/>
          <w:iCs/>
          <w:sz w:val="24"/>
          <w:szCs w:val="24"/>
          <w:lang w:eastAsia="es-ES"/>
        </w:rPr>
        <w:t xml:space="preserve"> </w:t>
      </w:r>
      <w:r w:rsidRPr="005E6387">
        <w:rPr>
          <w:rFonts w:ascii="Arial" w:eastAsia="Times New Roman" w:hAnsi="Arial" w:cs="Arial"/>
          <w:i/>
          <w:iCs/>
          <w:sz w:val="24"/>
          <w:szCs w:val="24"/>
          <w:lang w:eastAsia="es-ES"/>
        </w:rPr>
        <w:t xml:space="preserve">Constituyentes. - - - - - - - </w:t>
      </w:r>
    </w:p>
    <w:p w:rsidR="00A77C61" w:rsidRPr="005E6387" w:rsidRDefault="00A77C61" w:rsidP="00A77C61">
      <w:pPr>
        <w:spacing w:after="0" w:line="240" w:lineRule="auto"/>
        <w:ind w:firstLine="708"/>
        <w:jc w:val="both"/>
        <w:rPr>
          <w:rFonts w:ascii="Arial" w:eastAsia="Times New Roman" w:hAnsi="Arial" w:cs="Arial"/>
          <w:i/>
          <w:iCs/>
          <w:sz w:val="24"/>
          <w:szCs w:val="24"/>
          <w:lang w:eastAsia="es-ES"/>
        </w:rPr>
      </w:pPr>
      <w:r w:rsidRPr="005E6387">
        <w:rPr>
          <w:rFonts w:ascii="Arial" w:eastAsia="Times New Roman" w:hAnsi="Arial" w:cs="Arial"/>
          <w:i/>
          <w:iCs/>
          <w:noProof/>
          <w:sz w:val="24"/>
          <w:szCs w:val="24"/>
          <w:lang w:eastAsia="es-MX"/>
        </w:rPr>
        <w:drawing>
          <wp:inline distT="0" distB="0" distL="0" distR="0" wp14:anchorId="165EB677" wp14:editId="4A8AB757">
            <wp:extent cx="5172075" cy="255719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6313" cy="2559292"/>
                    </a:xfrm>
                    <a:prstGeom prst="rect">
                      <a:avLst/>
                    </a:prstGeom>
                    <a:noFill/>
                    <a:ln>
                      <a:noFill/>
                    </a:ln>
                  </pic:spPr>
                </pic:pic>
              </a:graphicData>
            </a:graphic>
          </wp:inline>
        </w:drawing>
      </w: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b/>
          <w:bCs/>
          <w:iCs/>
          <w:sz w:val="24"/>
          <w:szCs w:val="24"/>
          <w:lang w:eastAsia="es-ES"/>
        </w:rPr>
        <w:t>2.</w:t>
      </w:r>
      <w:r w:rsidRPr="005E6387">
        <w:rPr>
          <w:rFonts w:ascii="Arial" w:eastAsia="Times New Roman" w:hAnsi="Arial" w:cs="Arial"/>
          <w:iCs/>
          <w:sz w:val="24"/>
          <w:szCs w:val="24"/>
          <w:lang w:eastAsia="es-ES"/>
        </w:rPr>
        <w:t xml:space="preserve">- El segundo de los predios propuestos por la empresa se encuentra ubicado entre las calles Manuel M. Diéguez, Paseo de los Pinos, Paseo de los Abedules y cuenta con una superficie aproximada de 792.94 metros cuadrados con las siguientes medidas y colindancias: Norte </w:t>
      </w:r>
      <w:r w:rsidRPr="005E6387">
        <w:rPr>
          <w:rFonts w:ascii="Arial" w:eastAsia="Times New Roman" w:hAnsi="Arial" w:cs="Arial"/>
          <w:i/>
          <w:iCs/>
          <w:sz w:val="24"/>
          <w:szCs w:val="24"/>
          <w:lang w:eastAsia="es-ES"/>
        </w:rPr>
        <w:t xml:space="preserve">33.43 m con propiedad privada; </w:t>
      </w:r>
      <w:r w:rsidRPr="005E6387">
        <w:rPr>
          <w:rFonts w:ascii="Arial" w:eastAsia="Times New Roman" w:hAnsi="Arial" w:cs="Arial"/>
          <w:b/>
          <w:bCs/>
          <w:i/>
          <w:iCs/>
          <w:sz w:val="24"/>
          <w:szCs w:val="24"/>
          <w:lang w:eastAsia="es-ES"/>
        </w:rPr>
        <w:t>Sur 39.19 m con la calle</w:t>
      </w:r>
      <w:r w:rsidRPr="005E6387">
        <w:rPr>
          <w:rFonts w:ascii="Arial" w:eastAsia="Times New Roman" w:hAnsi="Arial" w:cs="Arial"/>
          <w:iCs/>
          <w:sz w:val="24"/>
          <w:szCs w:val="24"/>
          <w:lang w:eastAsia="es-ES"/>
        </w:rPr>
        <w:t xml:space="preserve"> </w:t>
      </w:r>
      <w:r w:rsidRPr="005E6387">
        <w:rPr>
          <w:rFonts w:ascii="Arial" w:eastAsia="Times New Roman" w:hAnsi="Arial" w:cs="Arial"/>
          <w:b/>
          <w:bCs/>
          <w:i/>
          <w:iCs/>
          <w:sz w:val="24"/>
          <w:szCs w:val="24"/>
          <w:lang w:eastAsia="es-ES"/>
        </w:rPr>
        <w:t>Manuel M. Diéguez</w:t>
      </w:r>
      <w:r w:rsidRPr="005E6387">
        <w:rPr>
          <w:rFonts w:ascii="Arial" w:eastAsia="Times New Roman" w:hAnsi="Arial" w:cs="Arial"/>
          <w:i/>
          <w:iCs/>
          <w:sz w:val="24"/>
          <w:szCs w:val="24"/>
          <w:lang w:eastAsia="es-ES"/>
        </w:rPr>
        <w:t>; Este 34.26 m con la calle Paseo de los</w:t>
      </w:r>
      <w:r w:rsidRPr="005E6387">
        <w:rPr>
          <w:rFonts w:ascii="Arial" w:eastAsia="Times New Roman" w:hAnsi="Arial" w:cs="Arial"/>
          <w:iCs/>
          <w:sz w:val="24"/>
          <w:szCs w:val="24"/>
          <w:lang w:eastAsia="es-ES"/>
        </w:rPr>
        <w:t xml:space="preserve"> </w:t>
      </w:r>
      <w:r w:rsidRPr="005E6387">
        <w:rPr>
          <w:rFonts w:ascii="Arial" w:eastAsia="Times New Roman" w:hAnsi="Arial" w:cs="Arial"/>
          <w:i/>
          <w:iCs/>
          <w:sz w:val="24"/>
          <w:szCs w:val="24"/>
          <w:lang w:eastAsia="es-ES"/>
        </w:rPr>
        <w:t>Abedules; Oeste 13.25 m con la calle Paseo de los Pinos.</w:t>
      </w:r>
      <w:r w:rsidRPr="005E6387">
        <w:rPr>
          <w:rFonts w:ascii="Arial" w:eastAsia="Times New Roman" w:hAnsi="Arial" w:cs="Arial"/>
          <w:iCs/>
          <w:sz w:val="24"/>
          <w:szCs w:val="24"/>
          <w:lang w:eastAsia="es-ES"/>
        </w:rPr>
        <w:t xml:space="preserve"> </w:t>
      </w:r>
      <w:r w:rsidRPr="005E6387">
        <w:rPr>
          <w:rFonts w:ascii="Arial" w:eastAsia="Times New Roman" w:hAnsi="Arial" w:cs="Arial"/>
          <w:i/>
          <w:iCs/>
          <w:sz w:val="24"/>
          <w:szCs w:val="24"/>
          <w:lang w:eastAsia="es-ES"/>
        </w:rPr>
        <w:t>Tiene un uso de suelo (AU 19, EV-V) Área Urbana (AU)</w:t>
      </w:r>
      <w:r w:rsidRPr="005E6387">
        <w:rPr>
          <w:rFonts w:ascii="Arial" w:eastAsia="Times New Roman" w:hAnsi="Arial" w:cs="Arial"/>
          <w:iCs/>
          <w:sz w:val="24"/>
          <w:szCs w:val="24"/>
          <w:lang w:eastAsia="es-ES"/>
        </w:rPr>
        <w:t xml:space="preserve"> </w:t>
      </w:r>
      <w:r w:rsidRPr="005E6387">
        <w:rPr>
          <w:rFonts w:ascii="Arial" w:eastAsia="Times New Roman" w:hAnsi="Arial" w:cs="Arial"/>
          <w:b/>
          <w:bCs/>
          <w:i/>
          <w:iCs/>
          <w:sz w:val="24"/>
          <w:szCs w:val="24"/>
          <w:lang w:eastAsia="es-ES"/>
        </w:rPr>
        <w:t xml:space="preserve">Espacio Verde Abierto y Recreativo Vecinal </w:t>
      </w:r>
      <w:r w:rsidRPr="005E6387">
        <w:rPr>
          <w:rFonts w:ascii="Arial" w:eastAsia="Times New Roman" w:hAnsi="Arial" w:cs="Arial"/>
          <w:i/>
          <w:iCs/>
          <w:sz w:val="24"/>
          <w:szCs w:val="24"/>
          <w:lang w:eastAsia="es-ES"/>
        </w:rPr>
        <w:t>(EV-V) de</w:t>
      </w:r>
      <w:r w:rsidRPr="005E6387">
        <w:rPr>
          <w:rFonts w:ascii="Arial" w:eastAsia="Times New Roman" w:hAnsi="Arial" w:cs="Arial"/>
          <w:iCs/>
          <w:sz w:val="24"/>
          <w:szCs w:val="24"/>
          <w:lang w:eastAsia="es-ES"/>
        </w:rPr>
        <w:t xml:space="preserve"> </w:t>
      </w:r>
      <w:r w:rsidRPr="005E6387">
        <w:rPr>
          <w:rFonts w:ascii="Arial" w:eastAsia="Times New Roman" w:hAnsi="Arial" w:cs="Arial"/>
          <w:i/>
          <w:iCs/>
          <w:sz w:val="24"/>
          <w:szCs w:val="24"/>
          <w:lang w:eastAsia="es-ES"/>
        </w:rPr>
        <w:t>conformidad al Plan de Desarrollo Urbano de Centro de</w:t>
      </w:r>
      <w:r w:rsidRPr="005E6387">
        <w:rPr>
          <w:rFonts w:ascii="Arial" w:eastAsia="Times New Roman" w:hAnsi="Arial" w:cs="Arial"/>
          <w:iCs/>
          <w:sz w:val="24"/>
          <w:szCs w:val="24"/>
          <w:lang w:eastAsia="es-ES"/>
        </w:rPr>
        <w:t xml:space="preserve"> </w:t>
      </w:r>
      <w:r w:rsidRPr="005E6387">
        <w:rPr>
          <w:rFonts w:ascii="Arial" w:eastAsia="Times New Roman" w:hAnsi="Arial" w:cs="Arial"/>
          <w:i/>
          <w:iCs/>
          <w:sz w:val="24"/>
          <w:szCs w:val="24"/>
          <w:lang w:eastAsia="es-ES"/>
        </w:rPr>
        <w:t>Población Zapotlán El Grande, Jalisco, Distrito 1, sub-distrito</w:t>
      </w:r>
      <w:r w:rsidRPr="005E6387">
        <w:rPr>
          <w:rFonts w:ascii="Arial" w:eastAsia="Times New Roman" w:hAnsi="Arial" w:cs="Arial"/>
          <w:iCs/>
          <w:sz w:val="24"/>
          <w:szCs w:val="24"/>
          <w:lang w:eastAsia="es-ES"/>
        </w:rPr>
        <w:t xml:space="preserve"> </w:t>
      </w:r>
      <w:r w:rsidRPr="005E6387">
        <w:rPr>
          <w:rFonts w:ascii="Arial" w:eastAsia="Times New Roman" w:hAnsi="Arial" w:cs="Arial"/>
          <w:i/>
          <w:iCs/>
          <w:sz w:val="24"/>
          <w:szCs w:val="24"/>
          <w:lang w:eastAsia="es-ES"/>
        </w:rPr>
        <w:t xml:space="preserve">“central camionera”; tal como se ilustra a continuación: - - - - - - - - - - - - </w:t>
      </w: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iCs/>
          <w:noProof/>
          <w:sz w:val="24"/>
          <w:szCs w:val="24"/>
          <w:lang w:eastAsia="es-MX"/>
        </w:rPr>
        <w:drawing>
          <wp:inline distT="0" distB="0" distL="0" distR="0" wp14:anchorId="46A862B7" wp14:editId="44DFE5B7">
            <wp:extent cx="4381500" cy="2124934"/>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4651" cy="2131312"/>
                    </a:xfrm>
                    <a:prstGeom prst="rect">
                      <a:avLst/>
                    </a:prstGeom>
                    <a:noFill/>
                    <a:ln>
                      <a:noFill/>
                    </a:ln>
                  </pic:spPr>
                </pic:pic>
              </a:graphicData>
            </a:graphic>
          </wp:inline>
        </w:drawing>
      </w: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b/>
          <w:bCs/>
          <w:i/>
          <w:iCs/>
          <w:sz w:val="24"/>
          <w:szCs w:val="24"/>
          <w:lang w:eastAsia="es-ES"/>
        </w:rPr>
      </w:pPr>
      <w:r w:rsidRPr="005E6387">
        <w:rPr>
          <w:rFonts w:ascii="Arial" w:eastAsia="Times New Roman" w:hAnsi="Arial" w:cs="Arial"/>
          <w:b/>
          <w:bCs/>
          <w:i/>
          <w:iCs/>
          <w:sz w:val="24"/>
          <w:szCs w:val="24"/>
          <w:lang w:eastAsia="es-ES"/>
        </w:rPr>
        <w:t>ANALISIS TÉCNICO-LEGAL.</w:t>
      </w:r>
    </w:p>
    <w:p w:rsidR="00A77C61" w:rsidRPr="005E6387" w:rsidRDefault="00A77C61" w:rsidP="00A77C61">
      <w:pPr>
        <w:spacing w:after="0" w:line="240" w:lineRule="auto"/>
        <w:ind w:firstLine="708"/>
        <w:jc w:val="both"/>
        <w:rPr>
          <w:rFonts w:ascii="Arial" w:eastAsia="Times New Roman" w:hAnsi="Arial" w:cs="Arial"/>
          <w:bCs/>
          <w:i/>
          <w:iCs/>
          <w:sz w:val="24"/>
          <w:szCs w:val="24"/>
          <w:lang w:eastAsia="es-ES"/>
        </w:rPr>
      </w:pPr>
      <w:r w:rsidRPr="005E6387">
        <w:rPr>
          <w:rFonts w:ascii="Arial" w:eastAsia="Times New Roman" w:hAnsi="Arial" w:cs="Arial"/>
          <w:b/>
          <w:bCs/>
          <w:i/>
          <w:iCs/>
          <w:sz w:val="24"/>
          <w:szCs w:val="24"/>
          <w:lang w:eastAsia="es-ES"/>
        </w:rPr>
        <w:t>B).</w:t>
      </w:r>
      <w:r w:rsidRPr="005E6387">
        <w:rPr>
          <w:rFonts w:ascii="Arial" w:eastAsia="Times New Roman" w:hAnsi="Arial" w:cs="Arial"/>
          <w:i/>
          <w:iCs/>
          <w:sz w:val="24"/>
          <w:szCs w:val="24"/>
          <w:lang w:eastAsia="es-ES"/>
        </w:rPr>
        <w:t xml:space="preserve">- Por la clasificación del uso de suelo que guardan ambos </w:t>
      </w:r>
      <w:r w:rsidRPr="005E6387">
        <w:rPr>
          <w:rFonts w:ascii="Arial" w:eastAsia="Times New Roman" w:hAnsi="Arial" w:cs="Arial"/>
          <w:b/>
          <w:bCs/>
          <w:i/>
          <w:iCs/>
          <w:sz w:val="24"/>
          <w:szCs w:val="24"/>
          <w:lang w:eastAsia="es-ES"/>
        </w:rPr>
        <w:t>espacios propuestos</w:t>
      </w:r>
      <w:r w:rsidRPr="005E6387">
        <w:rPr>
          <w:rFonts w:ascii="Arial" w:eastAsia="Times New Roman" w:hAnsi="Arial" w:cs="Arial"/>
          <w:i/>
          <w:iCs/>
          <w:sz w:val="24"/>
          <w:szCs w:val="24"/>
          <w:lang w:eastAsia="es-ES"/>
        </w:rPr>
        <w:t>, que es de (</w:t>
      </w:r>
      <w:r w:rsidRPr="005E6387">
        <w:rPr>
          <w:rFonts w:ascii="Arial" w:eastAsia="Times New Roman" w:hAnsi="Arial" w:cs="Arial"/>
          <w:b/>
          <w:bCs/>
          <w:i/>
          <w:iCs/>
          <w:sz w:val="24"/>
          <w:szCs w:val="24"/>
          <w:lang w:eastAsia="es-ES"/>
        </w:rPr>
        <w:t>EV</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ESPACIOS VERDES,</w:t>
      </w:r>
      <w:r w:rsidRPr="005E6387">
        <w:rPr>
          <w:rFonts w:ascii="Arial" w:eastAsia="Times New Roman" w:hAnsi="Arial" w:cs="Arial"/>
          <w:i/>
          <w:iCs/>
          <w:sz w:val="24"/>
          <w:szCs w:val="24"/>
          <w:lang w:eastAsia="es-ES"/>
        </w:rPr>
        <w:t xml:space="preserve"> por lo cual </w:t>
      </w:r>
      <w:r w:rsidRPr="005E6387">
        <w:rPr>
          <w:rFonts w:ascii="Arial" w:eastAsia="Times New Roman" w:hAnsi="Arial" w:cs="Arial"/>
          <w:b/>
          <w:bCs/>
          <w:i/>
          <w:iCs/>
          <w:sz w:val="24"/>
          <w:szCs w:val="24"/>
          <w:lang w:eastAsia="es-ES"/>
        </w:rPr>
        <w:t>dichos espacios no son compatibles para el</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giro en específico de ESTRUCTURAS DE</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TELECOMUNICACIONES</w:t>
      </w:r>
      <w:r w:rsidRPr="005E6387">
        <w:rPr>
          <w:rFonts w:ascii="Arial" w:eastAsia="Times New Roman" w:hAnsi="Arial" w:cs="Arial"/>
          <w:i/>
          <w:iCs/>
          <w:sz w:val="24"/>
          <w:szCs w:val="24"/>
          <w:lang w:eastAsia="es-ES"/>
        </w:rPr>
        <w:t xml:space="preserve">, que de conformidad a la legislación estatal en materia de zonificación es compatible con un uso de suelo </w:t>
      </w:r>
      <w:r w:rsidRPr="005E6387">
        <w:rPr>
          <w:rFonts w:ascii="Arial" w:eastAsia="Times New Roman" w:hAnsi="Arial" w:cs="Arial"/>
          <w:b/>
          <w:bCs/>
          <w:i/>
          <w:iCs/>
          <w:sz w:val="24"/>
          <w:szCs w:val="24"/>
          <w:lang w:eastAsia="es-ES"/>
        </w:rPr>
        <w:t xml:space="preserve">(IN-U) </w:t>
      </w:r>
      <w:r w:rsidRPr="005E6387">
        <w:rPr>
          <w:rFonts w:ascii="Arial" w:eastAsia="Times New Roman" w:hAnsi="Arial" w:cs="Arial"/>
          <w:i/>
          <w:iCs/>
          <w:sz w:val="24"/>
          <w:szCs w:val="24"/>
          <w:lang w:eastAsia="es-ES"/>
        </w:rPr>
        <w:t xml:space="preserve">Infraestructura urbana; de conformidad al artículo 76 cuadro 22, del Reglamento Estatal de Zonificación, que se refiere a Servicios, en relación con 124 cuadro 35 de la legislación en cita; debido a que se trata de espacios verdes destinados a giros específicos de espacios verdes; sin embargo, para el </w:t>
      </w:r>
      <w:r w:rsidRPr="005E6387">
        <w:rPr>
          <w:rFonts w:ascii="Arial" w:eastAsia="Times New Roman" w:hAnsi="Arial" w:cs="Arial"/>
          <w:b/>
          <w:bCs/>
          <w:i/>
          <w:iCs/>
          <w:sz w:val="24"/>
          <w:szCs w:val="24"/>
          <w:lang w:eastAsia="es-ES"/>
        </w:rPr>
        <w:t>predio ubicado en la</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colonia “Los Encinos”</w:t>
      </w:r>
      <w:r w:rsidRPr="005E6387">
        <w:rPr>
          <w:rFonts w:ascii="Arial" w:eastAsia="Times New Roman" w:hAnsi="Arial" w:cs="Arial"/>
          <w:i/>
          <w:iCs/>
          <w:sz w:val="24"/>
          <w:szCs w:val="24"/>
          <w:lang w:eastAsia="es-ES"/>
        </w:rPr>
        <w:t xml:space="preserve">, se detectó que el mismo se </w:t>
      </w:r>
      <w:r w:rsidRPr="005E6387">
        <w:rPr>
          <w:rFonts w:ascii="Arial" w:eastAsia="Times New Roman" w:hAnsi="Arial" w:cs="Arial"/>
          <w:b/>
          <w:bCs/>
          <w:i/>
          <w:iCs/>
          <w:sz w:val="24"/>
          <w:szCs w:val="24"/>
          <w:lang w:eastAsia="es-ES"/>
        </w:rPr>
        <w:t>encuentra colindando al sur con la calle Manuel M.</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Diéguez con un frente a tal vialidad de 39.41 metros</w:t>
      </w:r>
      <w:r w:rsidRPr="005E6387">
        <w:rPr>
          <w:rFonts w:ascii="Arial" w:eastAsia="Times New Roman" w:hAnsi="Arial" w:cs="Arial"/>
          <w:i/>
          <w:iCs/>
          <w:sz w:val="24"/>
          <w:szCs w:val="24"/>
          <w:lang w:eastAsia="es-ES"/>
        </w:rPr>
        <w:t xml:space="preserve">. La vialidad Manuel M. Diéguez se tiene clasificada como </w:t>
      </w:r>
      <w:r w:rsidRPr="005E6387">
        <w:rPr>
          <w:rFonts w:ascii="Arial" w:eastAsia="Times New Roman" w:hAnsi="Arial" w:cs="Arial"/>
          <w:b/>
          <w:bCs/>
          <w:i/>
          <w:iCs/>
          <w:sz w:val="24"/>
          <w:szCs w:val="24"/>
          <w:lang w:eastAsia="es-ES"/>
        </w:rPr>
        <w:t>(RI-VL,</w:t>
      </w:r>
      <w:r w:rsidRPr="005E6387">
        <w:rPr>
          <w:rFonts w:ascii="Arial" w:eastAsia="Times New Roman" w:hAnsi="Arial" w:cs="Arial"/>
          <w:i/>
          <w:iCs/>
          <w:sz w:val="24"/>
          <w:szCs w:val="24"/>
          <w:lang w:eastAsia="es-ES"/>
        </w:rPr>
        <w:t xml:space="preserve"> </w:t>
      </w:r>
      <w:r w:rsidRPr="005E6387">
        <w:rPr>
          <w:rFonts w:ascii="Arial" w:eastAsia="Times New Roman" w:hAnsi="Arial" w:cs="Arial"/>
          <w:b/>
          <w:bCs/>
          <w:i/>
          <w:iCs/>
          <w:sz w:val="24"/>
          <w:szCs w:val="24"/>
          <w:lang w:eastAsia="es-ES"/>
        </w:rPr>
        <w:t xml:space="preserve">VP 03) </w:t>
      </w:r>
      <w:r w:rsidRPr="005E6387">
        <w:rPr>
          <w:rFonts w:ascii="Arial" w:eastAsia="Times New Roman" w:hAnsi="Arial" w:cs="Arial"/>
          <w:i/>
          <w:iCs/>
          <w:sz w:val="24"/>
          <w:szCs w:val="24"/>
          <w:lang w:eastAsia="es-ES"/>
        </w:rPr>
        <w:t xml:space="preserve">Restricción por Infraestructura Vial </w:t>
      </w:r>
      <w:r w:rsidRPr="005E6387">
        <w:rPr>
          <w:rFonts w:ascii="Arial" w:eastAsia="Times New Roman" w:hAnsi="Arial" w:cs="Arial"/>
          <w:bCs/>
          <w:i/>
          <w:iCs/>
          <w:sz w:val="24"/>
          <w:szCs w:val="24"/>
          <w:lang w:eastAsia="es-ES"/>
        </w:rPr>
        <w:t>(RI-VP) VIALIDAD PRINCIPAL</w:t>
      </w:r>
      <w:r>
        <w:rPr>
          <w:rFonts w:ascii="Arial" w:eastAsia="Times New Roman" w:hAnsi="Arial" w:cs="Arial"/>
          <w:bCs/>
          <w:i/>
          <w:iCs/>
          <w:sz w:val="24"/>
          <w:szCs w:val="24"/>
          <w:lang w:eastAsia="es-ES"/>
        </w:rPr>
        <w:t xml:space="preserve"> </w:t>
      </w:r>
      <w:r w:rsidRPr="005E6387">
        <w:rPr>
          <w:rFonts w:ascii="Arial" w:eastAsia="Times New Roman" w:hAnsi="Arial" w:cs="Arial"/>
          <w:bCs/>
          <w:i/>
          <w:iCs/>
          <w:sz w:val="24"/>
          <w:szCs w:val="24"/>
          <w:lang w:eastAsia="es-ES"/>
        </w:rPr>
        <w:t>(VP), dentro del en el Plan de Desarrollo Urbano de Centro de Población Zapotlán El Grande, Distrito 1 Ciudad Guzmán, Sub-distrito 7 Central Camionera a su vez.</w:t>
      </w:r>
    </w:p>
    <w:p w:rsidR="00A77C61" w:rsidRPr="005E6387" w:rsidRDefault="00A77C61" w:rsidP="00A77C61">
      <w:pPr>
        <w:spacing w:after="0" w:line="240" w:lineRule="auto"/>
        <w:ind w:firstLine="708"/>
        <w:jc w:val="both"/>
        <w:rPr>
          <w:rFonts w:ascii="Arial" w:eastAsia="Times New Roman" w:hAnsi="Arial" w:cs="Arial"/>
          <w:b/>
          <w:bCs/>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b/>
          <w:bCs/>
          <w:i/>
          <w:iCs/>
          <w:sz w:val="24"/>
          <w:szCs w:val="24"/>
          <w:lang w:eastAsia="es-ES"/>
        </w:rPr>
      </w:pPr>
      <w:r w:rsidRPr="005E6387">
        <w:rPr>
          <w:rFonts w:ascii="Arial" w:eastAsia="Times New Roman" w:hAnsi="Arial" w:cs="Arial"/>
          <w:bCs/>
          <w:i/>
          <w:iCs/>
          <w:sz w:val="24"/>
          <w:szCs w:val="24"/>
          <w:lang w:eastAsia="es-ES"/>
        </w:rPr>
        <w:t>Por lo que, al encontrarse el predio descrito en el inciso A) arábigo 2, del cuerpo del presente escrito, sobre la vialidad Manuel M. Diéguez, misma que se encuentra clasificada como una vialidad principal, y por tanto ser compatible el uso de (IN-U)infraestructura urbana, con la clasificación de vialidad (VP) por ser un uso en términos de zonificación urbana recomendable</w:t>
      </w:r>
      <w:r w:rsidRPr="005E6387">
        <w:rPr>
          <w:rFonts w:ascii="Arial" w:eastAsia="Times New Roman" w:hAnsi="Arial" w:cs="Arial"/>
          <w:b/>
          <w:bCs/>
          <w:i/>
          <w:iCs/>
          <w:sz w:val="24"/>
          <w:szCs w:val="24"/>
          <w:lang w:eastAsia="es-ES"/>
        </w:rPr>
        <w:t xml:space="preserve">, ES PROCEDENTE LA COLOCACIÓN DE DICHA ESTRUCTURA PROPUESTA </w:t>
      </w:r>
      <w:r w:rsidRPr="005E6387">
        <w:rPr>
          <w:rFonts w:ascii="Arial" w:eastAsia="Times New Roman" w:hAnsi="Arial" w:cs="Arial"/>
          <w:bCs/>
          <w:i/>
          <w:iCs/>
          <w:sz w:val="24"/>
          <w:szCs w:val="24"/>
          <w:lang w:eastAsia="es-ES"/>
        </w:rPr>
        <w:t>por la empresa ello de conformidad con lo que establece el numeral 319 cuadro 47</w:t>
      </w:r>
      <w:r w:rsidRPr="005E6387">
        <w:rPr>
          <w:rFonts w:ascii="Arial" w:eastAsia="Times New Roman" w:hAnsi="Arial" w:cs="Arial"/>
          <w:i/>
          <w:iCs/>
          <w:sz w:val="24"/>
          <w:szCs w:val="24"/>
          <w:lang w:eastAsia="es-ES"/>
        </w:rPr>
        <w:t xml:space="preserve"> </w:t>
      </w:r>
      <w:r w:rsidRPr="005E6387">
        <w:rPr>
          <w:rFonts w:ascii="Arial" w:eastAsia="Times New Roman" w:hAnsi="Arial" w:cs="Arial"/>
          <w:bCs/>
          <w:i/>
          <w:iCs/>
          <w:sz w:val="24"/>
          <w:szCs w:val="24"/>
          <w:lang w:eastAsia="es-ES"/>
        </w:rPr>
        <w:t>del Reglamento Estatal de Zonificación, el cual se inserta para su mejor ilustración: - - - - - - - - - - - - - - - - - - - - - - - - - -</w:t>
      </w:r>
    </w:p>
    <w:p w:rsidR="00A77C61" w:rsidRPr="005E6387" w:rsidRDefault="00A77C61" w:rsidP="00A77C61">
      <w:pPr>
        <w:spacing w:after="0" w:line="240" w:lineRule="auto"/>
        <w:ind w:firstLine="708"/>
        <w:jc w:val="both"/>
        <w:rPr>
          <w:rFonts w:ascii="Arial" w:eastAsia="Times New Roman" w:hAnsi="Arial" w:cs="Arial"/>
          <w:b/>
          <w:bCs/>
          <w:i/>
          <w:iCs/>
          <w:sz w:val="24"/>
          <w:szCs w:val="24"/>
          <w:lang w:eastAsia="es-ES"/>
        </w:rPr>
      </w:pP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iCs/>
          <w:noProof/>
          <w:sz w:val="24"/>
          <w:szCs w:val="24"/>
          <w:lang w:eastAsia="es-MX"/>
        </w:rPr>
        <w:drawing>
          <wp:inline distT="0" distB="0" distL="0" distR="0" wp14:anchorId="5C7C7226" wp14:editId="2D33FF63">
            <wp:extent cx="6332220" cy="13484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134848"/>
                    </a:xfrm>
                    <a:prstGeom prst="rect">
                      <a:avLst/>
                    </a:prstGeom>
                    <a:noFill/>
                    <a:ln>
                      <a:noFill/>
                    </a:ln>
                  </pic:spPr>
                </pic:pic>
              </a:graphicData>
            </a:graphic>
          </wp:inline>
        </w:drawing>
      </w:r>
    </w:p>
    <w:p w:rsidR="00A77C61" w:rsidRPr="005E6387" w:rsidRDefault="00A77C61" w:rsidP="00A77C61">
      <w:pPr>
        <w:spacing w:after="0" w:line="240" w:lineRule="auto"/>
        <w:ind w:firstLine="708"/>
        <w:jc w:val="both"/>
        <w:rPr>
          <w:rFonts w:ascii="Arial" w:eastAsia="Times New Roman" w:hAnsi="Arial" w:cs="Arial"/>
          <w:iCs/>
          <w:sz w:val="24"/>
          <w:szCs w:val="24"/>
          <w:lang w:eastAsia="es-ES"/>
        </w:rPr>
      </w:pPr>
      <w:r w:rsidRPr="005E6387">
        <w:rPr>
          <w:rFonts w:ascii="Arial" w:eastAsia="Times New Roman" w:hAnsi="Arial" w:cs="Arial"/>
          <w:iCs/>
          <w:noProof/>
          <w:sz w:val="24"/>
          <w:szCs w:val="24"/>
          <w:lang w:eastAsia="es-MX"/>
        </w:rPr>
        <w:drawing>
          <wp:inline distT="0" distB="0" distL="0" distR="0" wp14:anchorId="3ED93BCD" wp14:editId="2ED80236">
            <wp:extent cx="5934075" cy="164869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290" cy="1648194"/>
                    </a:xfrm>
                    <a:prstGeom prst="rect">
                      <a:avLst/>
                    </a:prstGeom>
                    <a:noFill/>
                    <a:ln>
                      <a:noFill/>
                    </a:ln>
                  </pic:spPr>
                </pic:pic>
              </a:graphicData>
            </a:graphic>
          </wp:inline>
        </w:drawing>
      </w:r>
    </w:p>
    <w:p w:rsidR="00A77C61" w:rsidRPr="004036C2" w:rsidRDefault="00A77C61" w:rsidP="00A77C61">
      <w:pPr>
        <w:spacing w:after="0" w:line="240" w:lineRule="auto"/>
        <w:jc w:val="both"/>
        <w:rPr>
          <w:rFonts w:ascii="Arial" w:eastAsia="Times New Roman" w:hAnsi="Arial" w:cs="Arial"/>
          <w:b/>
          <w:bCs/>
          <w:i/>
          <w:iCs/>
          <w:sz w:val="24"/>
          <w:szCs w:val="24"/>
          <w:lang w:eastAsia="es-ES"/>
        </w:rPr>
      </w:pPr>
    </w:p>
    <w:p w:rsidR="00A77C61" w:rsidRPr="004036C2" w:rsidRDefault="00A77C61" w:rsidP="00A77C61">
      <w:pPr>
        <w:spacing w:after="0" w:line="240" w:lineRule="auto"/>
        <w:ind w:firstLine="708"/>
        <w:jc w:val="both"/>
        <w:rPr>
          <w:rFonts w:ascii="Arial" w:eastAsia="Times New Roman" w:hAnsi="Arial" w:cs="Arial"/>
          <w:b/>
          <w:bCs/>
          <w:i/>
          <w:iCs/>
          <w:sz w:val="24"/>
          <w:szCs w:val="24"/>
          <w:lang w:eastAsia="es-ES"/>
        </w:rPr>
      </w:pPr>
    </w:p>
    <w:p w:rsidR="00A77C61" w:rsidRPr="008157AA" w:rsidRDefault="00A77C61" w:rsidP="00A77C61">
      <w:pPr>
        <w:spacing w:after="0" w:line="240" w:lineRule="auto"/>
        <w:jc w:val="both"/>
        <w:rPr>
          <w:rFonts w:ascii="Arial" w:eastAsia="Times New Roman" w:hAnsi="Arial" w:cs="Arial"/>
          <w:bCs/>
          <w:iCs/>
          <w:sz w:val="24"/>
          <w:szCs w:val="24"/>
          <w:lang w:eastAsia="es-ES"/>
        </w:rPr>
      </w:pPr>
      <w:r w:rsidRPr="008157AA">
        <w:rPr>
          <w:rFonts w:ascii="Arial" w:eastAsia="Times New Roman" w:hAnsi="Arial" w:cs="Arial"/>
          <w:bCs/>
          <w:iCs/>
          <w:sz w:val="24"/>
          <w:szCs w:val="24"/>
          <w:lang w:eastAsia="es-ES"/>
        </w:rPr>
        <w:t xml:space="preserve">Ahora bien en </w:t>
      </w:r>
      <w:r w:rsidRPr="008157AA">
        <w:rPr>
          <w:rFonts w:ascii="Arial" w:eastAsia="Times New Roman" w:hAnsi="Arial" w:cs="Arial"/>
          <w:b/>
          <w:bCs/>
          <w:iCs/>
          <w:sz w:val="24"/>
          <w:szCs w:val="24"/>
          <w:lang w:eastAsia="es-ES"/>
        </w:rPr>
        <w:t>sesión ordinaria número 3 tres de fecha 21 de Diciembre del año 2015, el Regidor Roberto Mendoza Cárdenas</w:t>
      </w:r>
      <w:r w:rsidRPr="008157AA">
        <w:rPr>
          <w:rFonts w:ascii="Arial" w:eastAsia="Times New Roman" w:hAnsi="Arial" w:cs="Arial"/>
          <w:bCs/>
          <w:iCs/>
          <w:sz w:val="24"/>
          <w:szCs w:val="24"/>
          <w:lang w:eastAsia="es-ES"/>
        </w:rPr>
        <w:t xml:space="preserve"> presentó una iniciativa de acuerdo económico que instruye a la Comisión Edilicia de Obras Públicas, Planeación Urbana y Regularización de la Tenencia de la Tierra, para que procediera a convocar para la dictaminación del presente asunto, toda vez que quedó como uno de los asuntos pendientes turnados por parte del ex regidor Lic. Ricardo Milanez Ortega al regidor Lic. Roberto Mendoza Cárdenas, durante el cambio de la administración pública saliente. </w:t>
      </w:r>
    </w:p>
    <w:p w:rsidR="00A77C61" w:rsidRPr="008157AA" w:rsidRDefault="00A77C61" w:rsidP="00A77C61">
      <w:pPr>
        <w:spacing w:after="0" w:line="240" w:lineRule="auto"/>
        <w:jc w:val="both"/>
        <w:rPr>
          <w:rFonts w:ascii="Arial" w:eastAsia="Times New Roman" w:hAnsi="Arial" w:cs="Arial"/>
          <w:bCs/>
          <w:iCs/>
          <w:sz w:val="24"/>
          <w:szCs w:val="24"/>
          <w:lang w:eastAsia="es-ES"/>
        </w:rPr>
      </w:pPr>
    </w:p>
    <w:p w:rsidR="00A77C61" w:rsidRPr="008157AA" w:rsidRDefault="00A77C61" w:rsidP="00A77C61">
      <w:pPr>
        <w:spacing w:after="0" w:line="240" w:lineRule="auto"/>
        <w:jc w:val="both"/>
        <w:rPr>
          <w:rFonts w:ascii="Arial" w:eastAsia="Times New Roman" w:hAnsi="Arial" w:cs="Arial"/>
          <w:bCs/>
          <w:iCs/>
          <w:sz w:val="24"/>
          <w:szCs w:val="24"/>
          <w:lang w:eastAsia="es-ES"/>
        </w:rPr>
      </w:pPr>
      <w:r w:rsidRPr="008157AA">
        <w:rPr>
          <w:rFonts w:ascii="Arial" w:eastAsia="Times New Roman" w:hAnsi="Arial" w:cs="Arial"/>
          <w:bCs/>
          <w:iCs/>
          <w:sz w:val="24"/>
          <w:szCs w:val="24"/>
          <w:lang w:eastAsia="es-ES"/>
        </w:rPr>
        <w:t xml:space="preserve">La Comisión Edilicia de Participación Ciudadana y vecinal a través del Departamento de Participación Ciudadana, llevo a cabo grupos de trabajo en diversos ámbitos sociales en las mesas directivas de los lugares propuestos por las empresas, tomando en consideración de igual manera las solicitudes por parte de la empresa </w:t>
      </w:r>
      <w:r w:rsidRPr="008157AA">
        <w:rPr>
          <w:rFonts w:ascii="Arial" w:eastAsia="Times New Roman" w:hAnsi="Arial" w:cs="Arial"/>
          <w:b/>
          <w:bCs/>
          <w:iCs/>
          <w:sz w:val="24"/>
          <w:szCs w:val="24"/>
          <w:u w:val="single"/>
          <w:lang w:eastAsia="es-ES"/>
        </w:rPr>
        <w:t>Canalizaciones y Accesos Profesionales S. de R.L</w:t>
      </w:r>
      <w:r w:rsidRPr="008157AA">
        <w:rPr>
          <w:rFonts w:ascii="Arial" w:eastAsia="Times New Roman" w:hAnsi="Arial" w:cs="Arial"/>
          <w:bCs/>
          <w:iCs/>
          <w:sz w:val="24"/>
          <w:szCs w:val="24"/>
          <w:lang w:eastAsia="es-ES"/>
        </w:rPr>
        <w:t xml:space="preserve">., solicitando los siguientes espacios públicos, mediante la cual la Dirección de Ordenamiento Territorial en el mérito del nuevo organigrama y de las facultades otorgadas en el artículo 162 fracciones II, III, V, VIII y XXVI del nuevo Reglamento Orgánico de la Administración Pública Municipal de Zapotlán el Grande, Jalisco, en vigencia, al Director de Ordenamiento de Territorial Arq. José Luis Covarrubias García, emitió </w:t>
      </w:r>
      <w:r w:rsidRPr="008157AA">
        <w:rPr>
          <w:rFonts w:ascii="Arial" w:eastAsia="Times New Roman" w:hAnsi="Arial" w:cs="Arial"/>
          <w:b/>
          <w:bCs/>
          <w:iCs/>
          <w:sz w:val="24"/>
          <w:szCs w:val="24"/>
          <w:lang w:eastAsia="es-ES"/>
        </w:rPr>
        <w:t>dictámenes técnicos con número de oficio US- 32/2016; US-033/2016 y US-034/2016</w:t>
      </w:r>
      <w:r w:rsidRPr="008157AA">
        <w:rPr>
          <w:rFonts w:ascii="Arial" w:eastAsia="Times New Roman" w:hAnsi="Arial" w:cs="Arial"/>
          <w:bCs/>
          <w:iCs/>
          <w:sz w:val="24"/>
          <w:szCs w:val="24"/>
          <w:lang w:eastAsia="es-ES"/>
        </w:rPr>
        <w:t xml:space="preserve">; todos de fecha 20 de enero del 2016, en el que a la literalidad de los dictámenes mencionados determina conforme a los siguientes lugares, como dicho dictamen y a la letra dice: </w:t>
      </w:r>
    </w:p>
    <w:p w:rsidR="00A77C61" w:rsidRPr="004036C2" w:rsidRDefault="00A77C61" w:rsidP="00A77C61">
      <w:pPr>
        <w:spacing w:after="0" w:line="240" w:lineRule="auto"/>
        <w:ind w:firstLine="708"/>
        <w:jc w:val="both"/>
        <w:rPr>
          <w:rFonts w:ascii="Arial" w:eastAsia="Times New Roman" w:hAnsi="Arial" w:cs="Arial"/>
          <w:bCs/>
          <w:i/>
          <w:iCs/>
          <w:sz w:val="24"/>
          <w:szCs w:val="24"/>
          <w:lang w:eastAsia="es-ES"/>
        </w:rPr>
      </w:pPr>
      <w:r w:rsidRPr="004036C2">
        <w:rPr>
          <w:rFonts w:ascii="Arial" w:eastAsia="Times New Roman" w:hAnsi="Arial" w:cs="Arial"/>
          <w:bCs/>
          <w:i/>
          <w:iCs/>
          <w:sz w:val="24"/>
          <w:szCs w:val="24"/>
          <w:lang w:eastAsia="es-ES"/>
        </w:rPr>
        <w:t xml:space="preserve"> </w:t>
      </w:r>
    </w:p>
    <w:p w:rsidR="00A77C61" w:rsidRPr="004036C2" w:rsidRDefault="00A77C61" w:rsidP="00A77C61">
      <w:pPr>
        <w:spacing w:after="0" w:line="240" w:lineRule="auto"/>
        <w:ind w:firstLine="708"/>
        <w:jc w:val="both"/>
        <w:rPr>
          <w:rFonts w:ascii="Arial" w:eastAsia="Times New Roman" w:hAnsi="Arial" w:cs="Arial"/>
          <w:bCs/>
          <w:i/>
          <w:iCs/>
          <w:sz w:val="24"/>
          <w:szCs w:val="24"/>
          <w:lang w:eastAsia="es-ES"/>
        </w:rPr>
      </w:pPr>
      <w:r w:rsidRPr="004036C2">
        <w:rPr>
          <w:rFonts w:ascii="Arial" w:eastAsia="Times New Roman" w:hAnsi="Arial" w:cs="Arial"/>
          <w:bCs/>
          <w:i/>
          <w:iCs/>
          <w:sz w:val="24"/>
          <w:szCs w:val="24"/>
          <w:lang w:eastAsia="es-ES"/>
        </w:rPr>
        <w:t>“…….1.- El presente dictamen determina PROCEDENTE por ser un uso de suelo (AU 04, EV-B) Área Urbanizada (AU), Espacios Verdes, Abiertos y Recreativos Barriales (EV-B) condicionado con el asunto solicitado en específico TORRE DE TELECOMUNICACIONES TIPO LUMINARIA de conformidad al Plan Parcial Distrito I Ciudad Guzmán, Subdistrito I "Centro Histórico" del Plan de Desarrollo Urbano de Centro de Población Zapotlán El Grande, Jalisco.</w:t>
      </w:r>
    </w:p>
    <w:p w:rsidR="00A77C61" w:rsidRPr="004036C2" w:rsidRDefault="00A77C61" w:rsidP="00A77C61">
      <w:pPr>
        <w:spacing w:after="0" w:line="240" w:lineRule="auto"/>
        <w:ind w:firstLine="708"/>
        <w:jc w:val="both"/>
        <w:rPr>
          <w:rFonts w:ascii="Arial" w:eastAsia="Times New Roman" w:hAnsi="Arial" w:cs="Arial"/>
          <w:bCs/>
          <w:i/>
          <w:iCs/>
          <w:sz w:val="24"/>
          <w:szCs w:val="24"/>
          <w:lang w:eastAsia="es-ES"/>
        </w:rPr>
      </w:pPr>
    </w:p>
    <w:p w:rsidR="00A77C61" w:rsidRPr="004036C2" w:rsidRDefault="00A77C61" w:rsidP="00A77C61">
      <w:pPr>
        <w:spacing w:after="0" w:line="240" w:lineRule="auto"/>
        <w:ind w:firstLine="708"/>
        <w:jc w:val="both"/>
        <w:rPr>
          <w:rFonts w:ascii="Arial" w:eastAsia="Times New Roman" w:hAnsi="Arial" w:cs="Arial"/>
          <w:bCs/>
          <w:i/>
          <w:iCs/>
          <w:sz w:val="24"/>
          <w:szCs w:val="24"/>
          <w:lang w:eastAsia="es-ES"/>
        </w:rPr>
      </w:pPr>
    </w:p>
    <w:p w:rsidR="00A77C61" w:rsidRPr="004036C2" w:rsidRDefault="00A77C61" w:rsidP="00A77C61">
      <w:pPr>
        <w:spacing w:after="0" w:line="240" w:lineRule="auto"/>
        <w:ind w:firstLine="708"/>
        <w:jc w:val="both"/>
        <w:rPr>
          <w:rFonts w:ascii="Arial" w:eastAsia="Times New Roman" w:hAnsi="Arial" w:cs="Arial"/>
          <w:bCs/>
          <w:i/>
          <w:iCs/>
          <w:sz w:val="24"/>
          <w:szCs w:val="24"/>
          <w:lang w:eastAsia="es-ES"/>
        </w:rPr>
      </w:pPr>
      <w:r w:rsidRPr="004036C2">
        <w:rPr>
          <w:rFonts w:ascii="Arial" w:eastAsia="Times New Roman" w:hAnsi="Arial" w:cs="Arial"/>
          <w:bCs/>
          <w:i/>
          <w:iCs/>
          <w:noProof/>
          <w:sz w:val="24"/>
          <w:szCs w:val="24"/>
          <w:lang w:eastAsia="es-MX"/>
        </w:rPr>
        <w:drawing>
          <wp:inline distT="0" distB="0" distL="0" distR="0" wp14:anchorId="2FD9AA2F" wp14:editId="4C629B60">
            <wp:extent cx="4514850" cy="2596626"/>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r_14603315067563.jpg"/>
                    <pic:cNvPicPr/>
                  </pic:nvPicPr>
                  <pic:blipFill>
                    <a:blip r:embed="rId15">
                      <a:extLst>
                        <a:ext uri="{28A0092B-C50C-407E-A947-70E740481C1C}">
                          <a14:useLocalDpi xmlns:a14="http://schemas.microsoft.com/office/drawing/2010/main" val="0"/>
                        </a:ext>
                      </a:extLst>
                    </a:blip>
                    <a:stretch>
                      <a:fillRect/>
                    </a:stretch>
                  </pic:blipFill>
                  <pic:spPr>
                    <a:xfrm>
                      <a:off x="0" y="0"/>
                      <a:ext cx="4516383" cy="2597508"/>
                    </a:xfrm>
                    <a:prstGeom prst="rect">
                      <a:avLst/>
                    </a:prstGeom>
                  </pic:spPr>
                </pic:pic>
              </a:graphicData>
            </a:graphic>
          </wp:inline>
        </w:drawing>
      </w:r>
    </w:p>
    <w:p w:rsidR="00A77C61" w:rsidRPr="004036C2" w:rsidRDefault="00A77C61" w:rsidP="00A77C61">
      <w:pPr>
        <w:spacing w:after="0" w:line="240" w:lineRule="auto"/>
        <w:ind w:firstLine="708"/>
        <w:jc w:val="both"/>
        <w:rPr>
          <w:rFonts w:ascii="Arial" w:eastAsia="Times New Roman" w:hAnsi="Arial" w:cs="Arial"/>
          <w:i/>
          <w:iCs/>
          <w:sz w:val="24"/>
          <w:szCs w:val="24"/>
          <w:lang w:eastAsia="es-ES"/>
        </w:rPr>
      </w:pPr>
    </w:p>
    <w:p w:rsidR="00A77C61" w:rsidRPr="004036C2" w:rsidRDefault="00A77C61" w:rsidP="00A77C61">
      <w:pPr>
        <w:spacing w:after="0" w:line="240" w:lineRule="auto"/>
        <w:ind w:firstLine="708"/>
        <w:jc w:val="both"/>
        <w:rPr>
          <w:rFonts w:ascii="Arial" w:eastAsia="Times New Roman" w:hAnsi="Arial" w:cs="Arial"/>
          <w:i/>
          <w:iCs/>
          <w:sz w:val="24"/>
          <w:szCs w:val="24"/>
          <w:lang w:eastAsia="es-ES"/>
        </w:rPr>
      </w:pPr>
      <w:r w:rsidRPr="004036C2">
        <w:rPr>
          <w:rFonts w:ascii="Arial" w:eastAsia="Times New Roman" w:hAnsi="Arial" w:cs="Arial"/>
          <w:i/>
          <w:iCs/>
          <w:sz w:val="24"/>
          <w:szCs w:val="24"/>
          <w:lang w:eastAsia="es-ES"/>
        </w:rPr>
        <w:t>2.- Sobre el segundo lugar propuesto del dictamen se menciona que determina PROCEDENTE por ser un uso de suelo (AU , EV-B, 09) Área Urbanizada (AU), Espacios Verdes, Abiertos y Recreativos Barriales (EV-B) condicionado con el asunto solicitado en específico TORRE DE TELECOMUNICACIONES TIPO LUMINARIA de conformidad al Plan Parcial Distrito I Ciudad Guzmán, Subdistrito 5 "CONSTITUYENTES" del Plan de Desarrollo Urbano de Centro de Población Zapotlán El Grande, Jalisco</w:t>
      </w:r>
    </w:p>
    <w:p w:rsidR="00A77C61" w:rsidRPr="004036C2" w:rsidRDefault="00A77C61" w:rsidP="00A77C61">
      <w:pPr>
        <w:spacing w:after="0" w:line="240" w:lineRule="auto"/>
        <w:ind w:firstLine="708"/>
        <w:jc w:val="both"/>
        <w:rPr>
          <w:rFonts w:ascii="Arial" w:eastAsia="Times New Roman" w:hAnsi="Arial" w:cs="Arial"/>
          <w:i/>
          <w:iCs/>
          <w:sz w:val="24"/>
          <w:szCs w:val="24"/>
          <w:lang w:eastAsia="es-ES"/>
        </w:rPr>
      </w:pPr>
    </w:p>
    <w:p w:rsidR="00A77C61" w:rsidRPr="004036C2" w:rsidRDefault="00A77C61" w:rsidP="00A77C61">
      <w:pPr>
        <w:spacing w:after="0" w:line="240" w:lineRule="auto"/>
        <w:ind w:firstLine="708"/>
        <w:jc w:val="both"/>
        <w:rPr>
          <w:rFonts w:ascii="Arial" w:eastAsia="Times New Roman" w:hAnsi="Arial" w:cs="Arial"/>
          <w:i/>
          <w:iCs/>
          <w:sz w:val="24"/>
          <w:szCs w:val="24"/>
          <w:lang w:eastAsia="es-ES"/>
        </w:rPr>
      </w:pPr>
    </w:p>
    <w:p w:rsidR="00A77C61" w:rsidRPr="004036C2" w:rsidRDefault="00A77C61" w:rsidP="00A77C61">
      <w:pPr>
        <w:spacing w:after="0" w:line="240" w:lineRule="auto"/>
        <w:ind w:firstLine="708"/>
        <w:jc w:val="both"/>
        <w:rPr>
          <w:rFonts w:ascii="Arial" w:eastAsia="Times New Roman" w:hAnsi="Arial" w:cs="Arial"/>
          <w:i/>
          <w:iCs/>
          <w:sz w:val="24"/>
          <w:szCs w:val="24"/>
          <w:lang w:eastAsia="es-ES"/>
        </w:rPr>
      </w:pPr>
      <w:r w:rsidRPr="004036C2">
        <w:rPr>
          <w:rFonts w:ascii="Arial" w:eastAsia="Times New Roman" w:hAnsi="Arial" w:cs="Arial"/>
          <w:i/>
          <w:iCs/>
          <w:noProof/>
          <w:sz w:val="24"/>
          <w:szCs w:val="24"/>
          <w:lang w:eastAsia="es-MX"/>
        </w:rPr>
        <w:drawing>
          <wp:inline distT="0" distB="0" distL="0" distR="0" wp14:anchorId="7DEF8498" wp14:editId="68BEA970">
            <wp:extent cx="4114800" cy="2189624"/>
            <wp:effectExtent l="0" t="0" r="0" b="127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r_146033145830416.jpg"/>
                    <pic:cNvPicPr/>
                  </pic:nvPicPr>
                  <pic:blipFill>
                    <a:blip r:embed="rId16">
                      <a:extLst>
                        <a:ext uri="{28A0092B-C50C-407E-A947-70E740481C1C}">
                          <a14:useLocalDpi xmlns:a14="http://schemas.microsoft.com/office/drawing/2010/main" val="0"/>
                        </a:ext>
                      </a:extLst>
                    </a:blip>
                    <a:stretch>
                      <a:fillRect/>
                    </a:stretch>
                  </pic:blipFill>
                  <pic:spPr>
                    <a:xfrm>
                      <a:off x="0" y="0"/>
                      <a:ext cx="4116197" cy="2190367"/>
                    </a:xfrm>
                    <a:prstGeom prst="rect">
                      <a:avLst/>
                    </a:prstGeom>
                  </pic:spPr>
                </pic:pic>
              </a:graphicData>
            </a:graphic>
          </wp:inline>
        </w:drawing>
      </w:r>
    </w:p>
    <w:p w:rsidR="00A77C61" w:rsidRPr="004036C2" w:rsidRDefault="00A77C61" w:rsidP="00A77C61">
      <w:pPr>
        <w:spacing w:after="0" w:line="240" w:lineRule="auto"/>
        <w:ind w:firstLine="708"/>
        <w:jc w:val="both"/>
        <w:rPr>
          <w:rFonts w:ascii="Arial" w:eastAsia="Times New Roman" w:hAnsi="Arial" w:cs="Arial"/>
          <w:i/>
          <w:iCs/>
          <w:sz w:val="24"/>
          <w:szCs w:val="24"/>
          <w:lang w:eastAsia="es-ES"/>
        </w:rPr>
      </w:pPr>
      <w:r w:rsidRPr="004036C2">
        <w:rPr>
          <w:rFonts w:ascii="Arial" w:eastAsia="Times New Roman" w:hAnsi="Arial" w:cs="Arial"/>
          <w:i/>
          <w:iCs/>
          <w:sz w:val="24"/>
          <w:szCs w:val="24"/>
          <w:lang w:eastAsia="es-ES"/>
        </w:rPr>
        <w:t>3.- La última ubicación propuesta por esta última empresa determina el dictamen PROCEDENTE por ser un uso de suelo (AU 19, EV-V) Área Urbanizada (AU), Espacios Verdes, Abiertos y Recreativos Vecinales (EV-V) condicionado con el asunto solicitado en específico TORRE DE TELECOMUNICACIONES TIPO LUMINRIA de conformidad al Plan Parcial Distrito I Ciudad Guzmán, Subdistrito 7 "CENTRAL CAMIONERA" del Plan de Desarrollo Urbano de Centro de Población Zapotlán El Grande, Jalisco</w:t>
      </w:r>
    </w:p>
    <w:p w:rsidR="00A77C61" w:rsidRPr="004036C2" w:rsidRDefault="00A77C61" w:rsidP="00A77C61">
      <w:pPr>
        <w:spacing w:after="0" w:line="240" w:lineRule="auto"/>
        <w:ind w:firstLine="708"/>
        <w:jc w:val="both"/>
        <w:rPr>
          <w:rFonts w:ascii="Arial" w:eastAsia="Times New Roman" w:hAnsi="Arial" w:cs="Arial"/>
          <w:i/>
          <w:iCs/>
          <w:sz w:val="24"/>
          <w:szCs w:val="24"/>
          <w:lang w:eastAsia="es-ES"/>
        </w:rPr>
      </w:pPr>
      <w:r w:rsidRPr="004036C2">
        <w:rPr>
          <w:rFonts w:ascii="Arial" w:eastAsia="Times New Roman" w:hAnsi="Arial" w:cs="Arial"/>
          <w:i/>
          <w:iCs/>
          <w:noProof/>
          <w:sz w:val="24"/>
          <w:szCs w:val="24"/>
          <w:lang w:eastAsia="es-MX"/>
        </w:rPr>
        <w:drawing>
          <wp:inline distT="0" distB="0" distL="0" distR="0" wp14:anchorId="75770F04" wp14:editId="73880AC8">
            <wp:extent cx="5133975" cy="2901584"/>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r_146033153713810.jpg"/>
                    <pic:cNvPicPr/>
                  </pic:nvPicPr>
                  <pic:blipFill>
                    <a:blip r:embed="rId17">
                      <a:extLst>
                        <a:ext uri="{28A0092B-C50C-407E-A947-70E740481C1C}">
                          <a14:useLocalDpi xmlns:a14="http://schemas.microsoft.com/office/drawing/2010/main" val="0"/>
                        </a:ext>
                      </a:extLst>
                    </a:blip>
                    <a:stretch>
                      <a:fillRect/>
                    </a:stretch>
                  </pic:blipFill>
                  <pic:spPr>
                    <a:xfrm>
                      <a:off x="0" y="0"/>
                      <a:ext cx="5135718" cy="2902569"/>
                    </a:xfrm>
                    <a:prstGeom prst="rect">
                      <a:avLst/>
                    </a:prstGeom>
                  </pic:spPr>
                </pic:pic>
              </a:graphicData>
            </a:graphic>
          </wp:inline>
        </w:drawing>
      </w:r>
    </w:p>
    <w:p w:rsidR="00A77C61" w:rsidRPr="004036C2" w:rsidRDefault="00A77C61" w:rsidP="00A77C61">
      <w:pPr>
        <w:spacing w:after="0" w:line="240" w:lineRule="auto"/>
        <w:ind w:firstLine="708"/>
        <w:jc w:val="both"/>
        <w:rPr>
          <w:rFonts w:ascii="Arial" w:eastAsia="Times New Roman" w:hAnsi="Arial" w:cs="Arial"/>
          <w:i/>
          <w:iCs/>
          <w:sz w:val="24"/>
          <w:szCs w:val="24"/>
          <w:lang w:eastAsia="es-ES"/>
        </w:rPr>
      </w:pPr>
    </w:p>
    <w:p w:rsidR="00A77C61" w:rsidRPr="004036C2" w:rsidRDefault="00A77C61" w:rsidP="00A77C61">
      <w:pPr>
        <w:spacing w:after="0" w:line="240" w:lineRule="auto"/>
        <w:ind w:firstLine="708"/>
        <w:jc w:val="both"/>
        <w:rPr>
          <w:rFonts w:ascii="Arial" w:eastAsia="Times New Roman" w:hAnsi="Arial" w:cs="Arial"/>
          <w:i/>
          <w:iCs/>
          <w:sz w:val="24"/>
          <w:szCs w:val="24"/>
          <w:lang w:eastAsia="es-ES"/>
        </w:rPr>
      </w:pPr>
    </w:p>
    <w:p w:rsidR="00A77C61" w:rsidRPr="004036C2" w:rsidRDefault="00A77C61" w:rsidP="00A77C61">
      <w:pPr>
        <w:spacing w:after="0" w:line="240" w:lineRule="auto"/>
        <w:ind w:firstLine="708"/>
        <w:jc w:val="both"/>
        <w:rPr>
          <w:rFonts w:ascii="Arial" w:eastAsia="Times New Roman" w:hAnsi="Arial" w:cs="Arial"/>
          <w:i/>
          <w:iCs/>
          <w:sz w:val="24"/>
          <w:szCs w:val="24"/>
          <w:lang w:eastAsia="es-ES"/>
        </w:rPr>
      </w:pPr>
      <w:r w:rsidRPr="004036C2">
        <w:rPr>
          <w:rFonts w:ascii="Arial" w:eastAsia="Times New Roman" w:hAnsi="Arial" w:cs="Arial"/>
          <w:i/>
          <w:iCs/>
          <w:sz w:val="24"/>
          <w:szCs w:val="24"/>
          <w:lang w:eastAsia="es-ES"/>
        </w:rPr>
        <w:t xml:space="preserve">Por consiguiente, con fundamento en lo dispuesto por el artículo 115 fracción ll inciso e) de la Constitución Política de los Estados Unidos Mexicanos, así mismo, de conformidad con lo dispuesto por los artículos l0 fracción XlX, 148, 231,284 del Código Urbano para el Estado de Jalisco en vigencia, se emitieron los anteriores Dictámenes como PROCEDENTES por ser un uso condicionado con el giro al asunto solicitado en específico </w:t>
      </w:r>
      <w:r w:rsidRPr="004036C2">
        <w:rPr>
          <w:rFonts w:ascii="Arial" w:eastAsia="Times New Roman" w:hAnsi="Arial" w:cs="Arial"/>
          <w:b/>
          <w:i/>
          <w:iCs/>
          <w:sz w:val="24"/>
          <w:szCs w:val="24"/>
          <w:lang w:eastAsia="es-ES"/>
        </w:rPr>
        <w:t>TORRE DE TELECOMUNICACIONES TIPO IUMINARIA</w:t>
      </w:r>
      <w:r w:rsidRPr="004036C2">
        <w:rPr>
          <w:rFonts w:ascii="Arial" w:eastAsia="Times New Roman" w:hAnsi="Arial" w:cs="Arial"/>
          <w:i/>
          <w:iCs/>
          <w:sz w:val="24"/>
          <w:szCs w:val="24"/>
          <w:lang w:eastAsia="es-ES"/>
        </w:rPr>
        <w:t xml:space="preserve"> en los términos de los artículos 72 fracción ll, 7 4, 7 5, 78 fracción XLV, I 55, 157, 164 fracción lll y demás relativos y aplicables del Reglamento de Zonificación y Control Territorial del Municipio de Zapotlán El Grande, Jalisco. Y que no afectan a la imagen urbana por considerarse </w:t>
      </w:r>
      <w:r w:rsidRPr="004036C2">
        <w:rPr>
          <w:rFonts w:ascii="Arial" w:eastAsia="Times New Roman" w:hAnsi="Arial" w:cs="Arial"/>
          <w:b/>
          <w:i/>
          <w:iCs/>
          <w:sz w:val="24"/>
          <w:szCs w:val="24"/>
          <w:u w:val="single"/>
          <w:lang w:eastAsia="es-ES"/>
        </w:rPr>
        <w:t>EQUIPAMIENTO URBANO</w:t>
      </w:r>
      <w:r w:rsidRPr="004036C2">
        <w:rPr>
          <w:rFonts w:ascii="Arial" w:eastAsia="Times New Roman" w:hAnsi="Arial" w:cs="Arial"/>
          <w:i/>
          <w:iCs/>
          <w:sz w:val="24"/>
          <w:szCs w:val="24"/>
          <w:lang w:eastAsia="es-ES"/>
        </w:rPr>
        <w:t xml:space="preserve">, condicionado al fin. </w:t>
      </w:r>
    </w:p>
    <w:p w:rsidR="00A77C61" w:rsidRPr="004036C2" w:rsidRDefault="00A77C61" w:rsidP="00A77C61">
      <w:pPr>
        <w:spacing w:after="0" w:line="240" w:lineRule="auto"/>
        <w:ind w:firstLine="708"/>
        <w:jc w:val="both"/>
        <w:rPr>
          <w:rFonts w:ascii="Arial" w:eastAsia="Times New Roman" w:hAnsi="Arial" w:cs="Arial"/>
          <w:i/>
          <w:iCs/>
          <w:sz w:val="24"/>
          <w:szCs w:val="24"/>
          <w:lang w:eastAsia="es-ES"/>
        </w:rPr>
      </w:pPr>
    </w:p>
    <w:p w:rsidR="00A77C61" w:rsidRPr="004036C2" w:rsidRDefault="00A77C61" w:rsidP="00A77C61">
      <w:pPr>
        <w:spacing w:after="0" w:line="240" w:lineRule="auto"/>
        <w:jc w:val="both"/>
        <w:rPr>
          <w:rFonts w:ascii="Arial" w:eastAsia="Times New Roman" w:hAnsi="Arial" w:cs="Arial"/>
          <w:i/>
          <w:iCs/>
          <w:sz w:val="24"/>
          <w:szCs w:val="24"/>
          <w:lang w:eastAsia="es-ES"/>
        </w:rPr>
      </w:pPr>
      <w:r w:rsidRPr="004036C2">
        <w:rPr>
          <w:rFonts w:ascii="Arial" w:eastAsia="Times New Roman" w:hAnsi="Arial" w:cs="Arial"/>
          <w:i/>
          <w:iCs/>
          <w:sz w:val="24"/>
          <w:szCs w:val="24"/>
          <w:lang w:eastAsia="es-ES"/>
        </w:rPr>
        <w:t xml:space="preserve">De este modo, los anteriores dictámenes técnicos informaron únicamente sobre el uso y vocación del suelo, teniendo en cuenta que este </w:t>
      </w:r>
      <w:r w:rsidRPr="004036C2">
        <w:rPr>
          <w:rFonts w:ascii="Arial" w:eastAsia="Times New Roman" w:hAnsi="Arial" w:cs="Arial"/>
          <w:b/>
          <w:i/>
          <w:iCs/>
          <w:sz w:val="24"/>
          <w:szCs w:val="24"/>
          <w:lang w:eastAsia="es-ES"/>
        </w:rPr>
        <w:t>NO CONSTITUYE UNA AUTORIZACION PARA EFECTUAR OBRAS DE NINGUN TIPO EN EL PREDIO,</w:t>
      </w:r>
      <w:r w:rsidRPr="004036C2">
        <w:rPr>
          <w:rFonts w:ascii="Arial" w:eastAsia="Times New Roman" w:hAnsi="Arial" w:cs="Arial"/>
          <w:i/>
          <w:iCs/>
          <w:sz w:val="24"/>
          <w:szCs w:val="24"/>
          <w:lang w:eastAsia="es-ES"/>
        </w:rPr>
        <w:t xml:space="preserve"> </w:t>
      </w:r>
      <w:r w:rsidRPr="004036C2">
        <w:rPr>
          <w:rFonts w:ascii="Arial" w:eastAsia="Times New Roman" w:hAnsi="Arial" w:cs="Arial"/>
          <w:b/>
          <w:i/>
          <w:iCs/>
          <w:sz w:val="24"/>
          <w:szCs w:val="24"/>
          <w:lang w:eastAsia="es-ES"/>
        </w:rPr>
        <w:t xml:space="preserve">en tanto no se obtenga la licencia municipal </w:t>
      </w:r>
      <w:r w:rsidRPr="004036C2">
        <w:rPr>
          <w:rFonts w:ascii="Arial" w:eastAsia="Times New Roman" w:hAnsi="Arial" w:cs="Arial"/>
          <w:i/>
          <w:iCs/>
          <w:sz w:val="24"/>
          <w:szCs w:val="24"/>
          <w:lang w:eastAsia="es-ES"/>
        </w:rPr>
        <w:t xml:space="preserve">correspondiente, por lo que si estos se inician antes de obtener las aprobaciones necesarias se aplicaran los medidos de seguridad y sanciones de conformidad con lo dispuesto por los artículos 369, 370 y demás relativos y aplicables del Código Urbano del Estado de Jalisco y demás legislaciones aplicables. </w:t>
      </w:r>
    </w:p>
    <w:p w:rsidR="00A77C61" w:rsidRDefault="00A77C61" w:rsidP="00A77C61">
      <w:pPr>
        <w:spacing w:after="0" w:line="240" w:lineRule="auto"/>
        <w:ind w:firstLine="708"/>
        <w:jc w:val="both"/>
        <w:rPr>
          <w:rFonts w:ascii="Arial" w:eastAsia="Times New Roman" w:hAnsi="Arial" w:cs="Arial"/>
          <w:sz w:val="24"/>
          <w:szCs w:val="24"/>
          <w:lang w:eastAsia="es-ES"/>
        </w:rPr>
      </w:pPr>
    </w:p>
    <w:p w:rsidR="00A77C61" w:rsidRPr="008157AA" w:rsidRDefault="00A77C61" w:rsidP="00A77C61">
      <w:pPr>
        <w:spacing w:after="0" w:line="240" w:lineRule="auto"/>
        <w:jc w:val="both"/>
        <w:rPr>
          <w:rFonts w:ascii="Arial" w:eastAsia="Times New Roman" w:hAnsi="Arial" w:cs="Arial"/>
          <w:bCs/>
          <w:iCs/>
          <w:sz w:val="24"/>
          <w:szCs w:val="24"/>
          <w:lang w:eastAsia="es-ES"/>
        </w:rPr>
      </w:pPr>
      <w:r>
        <w:rPr>
          <w:rFonts w:ascii="Arial" w:eastAsia="Times New Roman" w:hAnsi="Arial" w:cs="Arial"/>
          <w:bCs/>
          <w:iCs/>
          <w:sz w:val="24"/>
          <w:szCs w:val="24"/>
          <w:lang w:eastAsia="es-ES"/>
        </w:rPr>
        <w:t>A</w:t>
      </w:r>
      <w:r w:rsidRPr="008157AA">
        <w:rPr>
          <w:rFonts w:ascii="Arial" w:eastAsia="Times New Roman" w:hAnsi="Arial" w:cs="Arial"/>
          <w:bCs/>
          <w:iCs/>
          <w:sz w:val="24"/>
          <w:szCs w:val="24"/>
          <w:lang w:eastAsia="es-ES"/>
        </w:rPr>
        <w:t>mbas empresas ofrecen como contraprestación, en caso de ser aprobada su solicitud de arrendamiento las siguientes: “Durante el tiempo que se encuentre instalado la estructura de telecomunicaciones tipo luminaria, las empresas tendrá a su cargo las siguientes obligaciones:</w:t>
      </w:r>
    </w:p>
    <w:p w:rsidR="00A77C61" w:rsidRPr="008157AA" w:rsidRDefault="00A77C61" w:rsidP="00A77C61">
      <w:pPr>
        <w:spacing w:after="0" w:line="240" w:lineRule="auto"/>
        <w:ind w:firstLine="708"/>
        <w:jc w:val="both"/>
        <w:rPr>
          <w:rFonts w:ascii="Arial" w:eastAsia="Times New Roman" w:hAnsi="Arial" w:cs="Arial"/>
          <w:bCs/>
          <w:iCs/>
          <w:sz w:val="24"/>
          <w:szCs w:val="24"/>
          <w:lang w:eastAsia="es-ES"/>
        </w:rPr>
      </w:pP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Colocación de equipamiento urbano tipo luminaria (espiga) con las siguientes consideraciones técnicas, mismas que se anexan al presente dictamen. </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Pagar ante la Comisión Federal de electricidad el consumo de energía tanto de los equipos como de las luminarias adosadas a la estructura. </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Realizar los mantenimientos necesarios a la estructura de telecomunicaciones tipo iluminaria, </w:t>
      </w:r>
      <w:r w:rsidRPr="008157AA">
        <w:rPr>
          <w:rFonts w:ascii="Arial" w:eastAsia="Times New Roman" w:hAnsi="Arial" w:cs="Arial"/>
          <w:bCs/>
          <w:iCs/>
          <w:sz w:val="24"/>
          <w:szCs w:val="24"/>
          <w:lang w:eastAsia="es-ES"/>
        </w:rPr>
        <w:t xml:space="preserve"> </w:t>
      </w:r>
      <w:r w:rsidRPr="008157AA">
        <w:rPr>
          <w:rFonts w:ascii="Arial" w:eastAsia="Times New Roman" w:hAnsi="Arial" w:cs="Arial"/>
          <w:bCs/>
          <w:i/>
          <w:iCs/>
          <w:sz w:val="24"/>
          <w:szCs w:val="24"/>
          <w:lang w:eastAsia="es-ES"/>
        </w:rPr>
        <w:t xml:space="preserve">para que este siempre en buen estado y no ponga en riesgo la integridad de los vecinos aledaños a la zona. </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Mantener y conservar el área en la cual se encuentre instalada la estructura de  telecomunicaciones tipo iluminaria. </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Ofrecer gratuitamente el servicio de transmisión bidirediccional de datos inalámbricos (INTERNET) con una capacidad mínimo de 8 Megabytes. </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Permitir la instalación de equipo de circuito cerrado para el Departamento de Seguridad Pública en la estructura de Telecomunicaciones tipo luminaria.</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Se obligan a no ceder, o traspasar ni transmitir bajo ninguna forma perpetuada por la ley los derechos del contrato de arrendamiento. </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No permitir el uso, ni el goce de la estructura de  telecomunicaciones tipo iluminaria, a otras personas físicas y/o morales. </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No colocar publicidad comercial en el cuerpo en la estructura de Telecomunicaciones tipo luminaria.</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Cuando la autoridad requiera del espacio para la ejecución de trabajos que impliquen el uso del mismo en el cual se encuentre la estructura de  telecomunicaciones tipo iluminaria,  la empresa deberá reubicar el mismo en un radio de 100.00  Metros. </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Adoptar 2 dos estructuras  de alumbrado público que se ubiquen dentro de un radio de 50.00 Metros respecto de la estructura de  telecomunicaciones tipo iluminaria, instalado por la empresa”.</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Proponiendo una tarifa mensual para el arrendamiento en base a lo que pagan a particulares en la zona, el pago mínimo mensual de $15,000.00 (QUINCE MIL PESOS 00/100 M.N.) máximo a $20,000.00 (VEINTE MIL PESOS 00/100 M.N.) por espacio público a considerar en razón de la plusvalía, lo que generaría un ingreso anual  por espacio arrendado de  la estructura de  telecomunicaciones tipo iluminaria aproximada de $180,000.00. (CIENTO OCHENTA MIL PESOS 00/100 MN.)</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Mantenimiento preventivo y correctivo de la estructura de  telecomunicaciones tipo iluminaria.</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Póliza de Responsabilidad Civil de daños contra terceros, </w:t>
      </w:r>
    </w:p>
    <w:p w:rsidR="00A77C61" w:rsidRPr="008157AA" w:rsidRDefault="00A77C61" w:rsidP="00A77C61">
      <w:pPr>
        <w:numPr>
          <w:ilvl w:val="0"/>
          <w:numId w:val="2"/>
        </w:numPr>
        <w:spacing w:after="0" w:line="240" w:lineRule="auto"/>
        <w:jc w:val="both"/>
        <w:rPr>
          <w:rFonts w:ascii="Arial" w:eastAsia="Times New Roman" w:hAnsi="Arial" w:cs="Arial"/>
          <w:bCs/>
          <w:i/>
          <w:iCs/>
          <w:sz w:val="24"/>
          <w:szCs w:val="24"/>
          <w:lang w:eastAsia="es-ES"/>
        </w:rPr>
      </w:pPr>
      <w:r w:rsidRPr="008157AA">
        <w:rPr>
          <w:rFonts w:ascii="Arial" w:eastAsia="Times New Roman" w:hAnsi="Arial" w:cs="Arial"/>
          <w:bCs/>
          <w:i/>
          <w:iCs/>
          <w:sz w:val="24"/>
          <w:szCs w:val="24"/>
          <w:lang w:eastAsia="es-ES"/>
        </w:rPr>
        <w:t xml:space="preserve">En caso de incumplimiento de los requisitos de ley, será causa de recisión, pagando por concepto de daños y perjuicios, el monto equivalente al valor del 60% del valor del contrato.   </w:t>
      </w:r>
    </w:p>
    <w:p w:rsidR="00A77C61" w:rsidRPr="008157AA" w:rsidRDefault="00A77C61" w:rsidP="00A77C61">
      <w:pPr>
        <w:spacing w:after="0" w:line="240" w:lineRule="auto"/>
        <w:ind w:firstLine="708"/>
        <w:jc w:val="both"/>
        <w:rPr>
          <w:rFonts w:ascii="Arial" w:eastAsia="Times New Roman" w:hAnsi="Arial" w:cs="Arial"/>
          <w:bCs/>
          <w:i/>
          <w:iCs/>
          <w:sz w:val="24"/>
          <w:szCs w:val="24"/>
          <w:lang w:eastAsia="es-ES"/>
        </w:rPr>
      </w:pPr>
    </w:p>
    <w:p w:rsidR="00A77C61" w:rsidRPr="00C04F06" w:rsidRDefault="00A77C61" w:rsidP="00A77C61">
      <w:pPr>
        <w:spacing w:after="0" w:line="240" w:lineRule="auto"/>
        <w:jc w:val="both"/>
        <w:rPr>
          <w:rFonts w:ascii="Arial" w:eastAsia="Times New Roman" w:hAnsi="Arial" w:cs="Arial"/>
          <w:sz w:val="24"/>
          <w:szCs w:val="24"/>
          <w:lang w:val="es-ES" w:eastAsia="es-ES"/>
        </w:rPr>
      </w:pPr>
    </w:p>
    <w:p w:rsidR="00A77C61" w:rsidRPr="00C04F06" w:rsidRDefault="00A77C61" w:rsidP="00A77C61">
      <w:pPr>
        <w:spacing w:after="0" w:line="240" w:lineRule="auto"/>
        <w:ind w:firstLine="708"/>
        <w:jc w:val="both"/>
        <w:rPr>
          <w:rFonts w:ascii="Arial" w:eastAsia="Times New Roman" w:hAnsi="Arial" w:cs="Arial"/>
          <w:sz w:val="24"/>
          <w:szCs w:val="24"/>
          <w:lang w:val="es-ES" w:eastAsia="es-ES"/>
        </w:rPr>
      </w:pPr>
      <w:r w:rsidRPr="00C04F06">
        <w:rPr>
          <w:rFonts w:ascii="Arial" w:eastAsia="Times New Roman" w:hAnsi="Arial" w:cs="Arial"/>
          <w:b/>
          <w:sz w:val="24"/>
          <w:szCs w:val="24"/>
          <w:lang w:val="es-ES" w:eastAsia="es-ES"/>
        </w:rPr>
        <w:t>C. J. JESÚS GUERRERO ZUÑIGA.-</w:t>
      </w:r>
      <w:r w:rsidRPr="00C04F06">
        <w:rPr>
          <w:rFonts w:ascii="Arial" w:eastAsia="Times New Roman" w:hAnsi="Arial" w:cs="Arial"/>
          <w:sz w:val="24"/>
          <w:szCs w:val="24"/>
          <w:lang w:val="es-ES" w:eastAsia="es-ES"/>
        </w:rPr>
        <w:t xml:space="preserve"> Ok entonces, si no hay más comentarios, someto a votación la aprobación del dictamen  técnico- jurídico </w:t>
      </w:r>
      <w:r w:rsidRPr="00C04F06">
        <w:rPr>
          <w:rFonts w:ascii="Arial" w:eastAsia="Times New Roman" w:hAnsi="Arial" w:cs="Arial"/>
          <w:iCs/>
          <w:sz w:val="24"/>
          <w:szCs w:val="24"/>
          <w:lang w:val="es-ES" w:eastAsia="es-ES"/>
        </w:rPr>
        <w:t>a fin de suscribir la</w:t>
      </w:r>
      <w:r>
        <w:rPr>
          <w:rFonts w:ascii="Arial" w:eastAsia="Times New Roman" w:hAnsi="Arial" w:cs="Arial"/>
          <w:iCs/>
          <w:sz w:val="24"/>
          <w:szCs w:val="24"/>
          <w:lang w:val="es-ES" w:eastAsia="es-ES"/>
        </w:rPr>
        <w:t xml:space="preserve"> documentación necesaria para  </w:t>
      </w:r>
      <w:r w:rsidRPr="00C04F06">
        <w:rPr>
          <w:rFonts w:ascii="Arial" w:eastAsia="Times New Roman" w:hAnsi="Arial" w:cs="Arial"/>
          <w:iCs/>
          <w:sz w:val="24"/>
          <w:szCs w:val="24"/>
          <w:lang w:val="es-ES" w:eastAsia="es-ES"/>
        </w:rPr>
        <w:t xml:space="preserve"> ampliación del término y el contrato modificatorio con el contratista, los que estén a la afirmativa, favor de emitir su voto.- </w:t>
      </w:r>
      <w:r>
        <w:rPr>
          <w:rFonts w:ascii="Arial" w:eastAsia="Times New Roman" w:hAnsi="Arial" w:cs="Arial"/>
          <w:b/>
          <w:iCs/>
          <w:sz w:val="24"/>
          <w:szCs w:val="24"/>
          <w:lang w:val="es-ES" w:eastAsia="es-ES"/>
        </w:rPr>
        <w:t xml:space="preserve">Aprobado por Mayoría de los asistentes, con 8 ocho votos a favor y una abstención de la regidora Claudia Murguía Torres. </w:t>
      </w:r>
    </w:p>
    <w:p w:rsidR="00A77C61" w:rsidRPr="00C04F06" w:rsidRDefault="00A77C61" w:rsidP="00A77C61">
      <w:pPr>
        <w:spacing w:after="0" w:line="240" w:lineRule="auto"/>
        <w:jc w:val="both"/>
        <w:rPr>
          <w:rFonts w:ascii="Arial" w:eastAsia="Times New Roman" w:hAnsi="Arial" w:cs="Arial"/>
          <w:sz w:val="24"/>
          <w:szCs w:val="24"/>
          <w:lang w:val="es-ES" w:eastAsia="es-ES"/>
        </w:rPr>
      </w:pPr>
    </w:p>
    <w:p w:rsidR="00A77C61" w:rsidRPr="00C04F06" w:rsidRDefault="00A77C61" w:rsidP="00A77C61">
      <w:pPr>
        <w:spacing w:after="0" w:line="240" w:lineRule="auto"/>
        <w:jc w:val="both"/>
        <w:rPr>
          <w:rFonts w:ascii="Arial" w:eastAsia="Times New Roman" w:hAnsi="Arial" w:cs="Arial"/>
          <w:sz w:val="24"/>
          <w:szCs w:val="24"/>
          <w:lang w:val="es-ES" w:eastAsia="es-ES"/>
        </w:rPr>
      </w:pPr>
    </w:p>
    <w:p w:rsidR="00A77C61" w:rsidRPr="00C04F06" w:rsidRDefault="00A77C61" w:rsidP="00A77C6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4"/>
          <w:szCs w:val="24"/>
          <w:lang w:val="es-ES" w:eastAsia="es-ES"/>
        </w:rPr>
      </w:pPr>
      <w:r w:rsidRPr="00C04F06">
        <w:rPr>
          <w:rFonts w:ascii="Arial" w:eastAsia="Times New Roman" w:hAnsi="Arial" w:cs="Arial"/>
          <w:b/>
          <w:sz w:val="24"/>
          <w:szCs w:val="24"/>
          <w:lang w:val="es-ES" w:eastAsia="es-ES"/>
        </w:rPr>
        <w:t>A C U E R D O S :</w:t>
      </w:r>
    </w:p>
    <w:p w:rsidR="00A77C61" w:rsidRPr="00C04F06" w:rsidRDefault="00A77C61" w:rsidP="00A77C61">
      <w:pPr>
        <w:spacing w:after="0" w:line="240" w:lineRule="auto"/>
        <w:jc w:val="both"/>
        <w:rPr>
          <w:rFonts w:ascii="Arial" w:eastAsia="Times New Roman" w:hAnsi="Arial" w:cs="Arial"/>
          <w:sz w:val="24"/>
          <w:szCs w:val="24"/>
          <w:lang w:val="es-ES" w:eastAsia="es-ES"/>
        </w:rPr>
      </w:pPr>
    </w:p>
    <w:p w:rsidR="00A77C61" w:rsidRPr="00C04F06" w:rsidRDefault="00A77C61" w:rsidP="00A77C61">
      <w:pPr>
        <w:autoSpaceDE w:val="0"/>
        <w:autoSpaceDN w:val="0"/>
        <w:adjustRightInd w:val="0"/>
        <w:spacing w:after="0" w:line="240" w:lineRule="auto"/>
        <w:ind w:firstLine="708"/>
        <w:jc w:val="both"/>
        <w:rPr>
          <w:rFonts w:ascii="Arial" w:eastAsia="Times New Roman" w:hAnsi="Arial" w:cs="Arial"/>
          <w:iCs/>
          <w:color w:val="000000"/>
          <w:sz w:val="24"/>
          <w:szCs w:val="28"/>
          <w:lang w:val="es-ES" w:eastAsia="es-ES"/>
        </w:rPr>
      </w:pPr>
      <w:r>
        <w:rPr>
          <w:rFonts w:ascii="Arial" w:eastAsia="Times New Roman" w:hAnsi="Arial" w:cs="Arial"/>
          <w:b/>
          <w:iCs/>
          <w:color w:val="000000"/>
          <w:sz w:val="24"/>
          <w:szCs w:val="28"/>
          <w:lang w:val="es-ES" w:eastAsia="es-ES"/>
        </w:rPr>
        <w:t>PRIMERO</w:t>
      </w:r>
      <w:r w:rsidRPr="00C04F06">
        <w:rPr>
          <w:rFonts w:ascii="Arial" w:eastAsia="Times New Roman" w:hAnsi="Arial" w:cs="Arial"/>
          <w:b/>
          <w:iCs/>
          <w:color w:val="000000"/>
          <w:sz w:val="24"/>
          <w:szCs w:val="28"/>
          <w:lang w:val="es-ES" w:eastAsia="es-ES"/>
        </w:rPr>
        <w:t xml:space="preserve">.- </w:t>
      </w:r>
      <w:r w:rsidRPr="00C04F06">
        <w:rPr>
          <w:rFonts w:ascii="Arial" w:eastAsia="Times New Roman" w:hAnsi="Arial" w:cs="Arial"/>
          <w:iCs/>
          <w:color w:val="000000"/>
          <w:sz w:val="24"/>
          <w:szCs w:val="28"/>
          <w:lang w:eastAsia="es-ES"/>
        </w:rPr>
        <w:t>Analizada</w:t>
      </w:r>
      <w:r>
        <w:rPr>
          <w:rFonts w:ascii="Arial" w:eastAsia="Times New Roman" w:hAnsi="Arial" w:cs="Arial"/>
          <w:iCs/>
          <w:color w:val="000000"/>
          <w:sz w:val="24"/>
          <w:szCs w:val="28"/>
          <w:lang w:eastAsia="es-ES"/>
        </w:rPr>
        <w:t xml:space="preserve"> la </w:t>
      </w:r>
      <w:r w:rsidRPr="00556F54">
        <w:rPr>
          <w:rFonts w:ascii="Arial" w:eastAsia="Times New Roman" w:hAnsi="Arial" w:cs="Arial"/>
          <w:iCs/>
          <w:color w:val="000000"/>
          <w:sz w:val="24"/>
          <w:szCs w:val="28"/>
          <w:lang w:eastAsia="es-ES"/>
        </w:rPr>
        <w:t xml:space="preserve">INICIATIVA DE ACUERDO ECONÓMICO QUE TURNA A COMISIONES el día 23 de septiembre y del 21 de Diciembre del 2015, relativo sobre una iniciativa de acuerdo económico sobre estructuras de Telecomunicación turnado a las COMISIONES EDILICIAS DE OBRAS PÚBLICAS, PLANEACIÓN URBANA Y REGULARIZACIÓN DE LA TENENCIA DE LA TIERRA; HACIENDA PÚBLICA Y DE PATRIMONIO MUNICIPAL; PARTICIPACIÓN CIUDADANA Y VECINAL; REGLAMENTOS Y GOBERNACIÓN, </w:t>
      </w:r>
      <w:r w:rsidRPr="00C04F06">
        <w:rPr>
          <w:rFonts w:ascii="Arial" w:eastAsia="Times New Roman" w:hAnsi="Arial" w:cs="Arial"/>
          <w:bCs/>
          <w:iCs/>
          <w:color w:val="000000"/>
          <w:sz w:val="24"/>
          <w:szCs w:val="28"/>
          <w:lang w:val="es-ES" w:eastAsia="es-ES"/>
        </w:rPr>
        <w:t xml:space="preserve">y </w:t>
      </w:r>
      <w:r w:rsidRPr="00C04F06">
        <w:rPr>
          <w:rFonts w:ascii="Arial" w:eastAsia="Times New Roman" w:hAnsi="Arial" w:cs="Arial"/>
          <w:iCs/>
          <w:color w:val="000000"/>
          <w:sz w:val="24"/>
          <w:szCs w:val="24"/>
          <w:lang w:eastAsia="es-ES"/>
        </w:rPr>
        <w:t xml:space="preserve"> </w:t>
      </w:r>
      <w:r w:rsidRPr="00C04F06">
        <w:rPr>
          <w:rFonts w:ascii="Arial" w:eastAsia="Times New Roman" w:hAnsi="Arial" w:cs="Arial"/>
          <w:iCs/>
          <w:color w:val="000000"/>
          <w:sz w:val="24"/>
          <w:szCs w:val="24"/>
          <w:lang w:val="es-ES" w:eastAsia="es-ES"/>
        </w:rPr>
        <w:t>basados en los documentos fundatorios</w:t>
      </w:r>
      <w:r>
        <w:rPr>
          <w:rFonts w:ascii="Arial" w:eastAsia="Times New Roman" w:hAnsi="Arial" w:cs="Arial"/>
          <w:bCs/>
          <w:iCs/>
          <w:color w:val="000000"/>
          <w:sz w:val="24"/>
          <w:szCs w:val="28"/>
          <w:lang w:val="es-ES" w:eastAsia="es-ES"/>
        </w:rPr>
        <w:t>, consistente en dictámenes técnicos, así como la información proporcionada por las empresas interesadas</w:t>
      </w:r>
      <w:r w:rsidRPr="00556F54">
        <w:rPr>
          <w:rFonts w:ascii="Arial" w:eastAsia="Times New Roman" w:hAnsi="Arial" w:cs="Arial"/>
          <w:bCs/>
          <w:iCs/>
          <w:color w:val="000000"/>
          <w:sz w:val="24"/>
          <w:szCs w:val="28"/>
          <w:lang w:val="es-ES" w:eastAsia="es-ES"/>
        </w:rPr>
        <w:t>, para aprobación ante el pleno del Ayuntamiento a fin de aprobar la colocación de estructuras de telecomunicaciones tipo luminaria en lugares estratégicos de la ciudad</w:t>
      </w:r>
      <w:r w:rsidRPr="00C04F06">
        <w:rPr>
          <w:rFonts w:ascii="Arial" w:eastAsia="Times New Roman" w:hAnsi="Arial" w:cs="Arial"/>
          <w:iCs/>
          <w:color w:val="000000"/>
          <w:sz w:val="24"/>
          <w:szCs w:val="24"/>
          <w:lang w:val="es-ES" w:eastAsia="es-ES"/>
        </w:rPr>
        <w:t xml:space="preserve">, se </w:t>
      </w:r>
      <w:r w:rsidRPr="00C04F06">
        <w:rPr>
          <w:rFonts w:ascii="Arial" w:eastAsia="Times New Roman" w:hAnsi="Arial" w:cs="Arial"/>
          <w:sz w:val="24"/>
          <w:szCs w:val="24"/>
          <w:lang w:val="es-ES" w:eastAsia="es-ES"/>
        </w:rPr>
        <w:t xml:space="preserve">aprueba y autoriza por unanimidad, realizar el Dictamen Técnico- Jurídico correspondiente, adjuntando los documentos anexos presentados como fundatorios de la acción, para elevarlo al Pleno del Ayuntamiento para su aprobación. </w:t>
      </w:r>
    </w:p>
    <w:p w:rsidR="00A77C61" w:rsidRDefault="00A77C61" w:rsidP="00A77C61">
      <w:pPr>
        <w:spacing w:after="0" w:line="240" w:lineRule="auto"/>
        <w:jc w:val="both"/>
        <w:rPr>
          <w:rFonts w:ascii="Arial" w:eastAsia="Times New Roman" w:hAnsi="Arial" w:cs="Arial"/>
          <w:sz w:val="24"/>
          <w:szCs w:val="24"/>
          <w:lang w:val="es-ES" w:eastAsia="es-ES"/>
        </w:rPr>
      </w:pPr>
    </w:p>
    <w:p w:rsidR="00A77C61" w:rsidRDefault="00A77C61" w:rsidP="00A77C61">
      <w:pPr>
        <w:spacing w:after="0" w:line="240" w:lineRule="auto"/>
        <w:ind w:firstLine="708"/>
        <w:jc w:val="both"/>
        <w:rPr>
          <w:rFonts w:ascii="Arial" w:eastAsia="Times New Roman" w:hAnsi="Arial" w:cs="Arial"/>
          <w:sz w:val="24"/>
          <w:szCs w:val="24"/>
          <w:lang w:val="es-ES" w:eastAsia="es-ES"/>
        </w:rPr>
      </w:pPr>
      <w:r w:rsidRPr="00695E81">
        <w:rPr>
          <w:rFonts w:ascii="Arial" w:eastAsia="Times New Roman" w:hAnsi="Arial" w:cs="Arial"/>
          <w:b/>
          <w:sz w:val="24"/>
          <w:szCs w:val="24"/>
          <w:lang w:val="es-ES" w:eastAsia="es-ES"/>
        </w:rPr>
        <w:t>SEGUNDO</w:t>
      </w:r>
      <w:r>
        <w:rPr>
          <w:rFonts w:ascii="Arial" w:eastAsia="Times New Roman" w:hAnsi="Arial" w:cs="Arial"/>
          <w:sz w:val="24"/>
          <w:szCs w:val="24"/>
          <w:lang w:val="es-ES" w:eastAsia="es-ES"/>
        </w:rPr>
        <w:t xml:space="preserve">.- Se aprueba el dictamen en los siguientes términos: </w:t>
      </w:r>
    </w:p>
    <w:p w:rsidR="00A77C61" w:rsidRDefault="00A77C61" w:rsidP="00A77C61">
      <w:pPr>
        <w:spacing w:after="0" w:line="240" w:lineRule="auto"/>
        <w:jc w:val="both"/>
        <w:rPr>
          <w:rFonts w:ascii="Arial" w:eastAsia="Times New Roman" w:hAnsi="Arial" w:cs="Arial"/>
          <w:sz w:val="24"/>
          <w:szCs w:val="24"/>
          <w:lang w:val="es-ES" w:eastAsia="es-ES"/>
        </w:rPr>
      </w:pPr>
    </w:p>
    <w:p w:rsidR="00A77C61" w:rsidRPr="00695E81" w:rsidRDefault="00A77C61" w:rsidP="00A77C61">
      <w:pPr>
        <w:numPr>
          <w:ilvl w:val="0"/>
          <w:numId w:val="3"/>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El contrato de arrendamiento debe considerarse en los términos del artículo 2023 del Código Civil del Estado de Jalisco.</w:t>
      </w:r>
    </w:p>
    <w:p w:rsidR="00A77C61" w:rsidRPr="00695E81" w:rsidRDefault="00A77C61" w:rsidP="00A77C61">
      <w:pPr>
        <w:numPr>
          <w:ilvl w:val="0"/>
          <w:numId w:val="3"/>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 xml:space="preserve">La vigencia del contrato de arrendamiento no puede ser mayor a la vigencia de la presente administración pública. </w:t>
      </w:r>
    </w:p>
    <w:p w:rsidR="00A77C61" w:rsidRPr="00695E81" w:rsidRDefault="00A77C61" w:rsidP="00A77C61">
      <w:pPr>
        <w:numPr>
          <w:ilvl w:val="0"/>
          <w:numId w:val="3"/>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Las empresas se obligan a exhibir una póliza de seguro en garantía por concepto de responsabilidad civil de daños y perjuicios contra terceros, por una cantidad de $10´000,000.00 (DIEZ MILLONES DE PESOS 00/100 M.N.) y deberá señalar irrevocablemente al Ayuntamiento como beneficiario preferente, con vigencia a 3 tres años, a la suscripción del contrato de arrendamiento por cada espacio público solicitado, por efectos de caso fortuito o fuerza mayor.</w:t>
      </w:r>
    </w:p>
    <w:p w:rsidR="00A77C61" w:rsidRPr="00695E81" w:rsidRDefault="00A77C61" w:rsidP="00A77C61">
      <w:pPr>
        <w:numPr>
          <w:ilvl w:val="0"/>
          <w:numId w:val="3"/>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 xml:space="preserve">Determinar especificaciones técnicas de los materiales implementados al solicitar la licencia </w:t>
      </w:r>
      <w:r w:rsidRPr="00695E81">
        <w:rPr>
          <w:rFonts w:ascii="Arial" w:eastAsia="Times New Roman" w:hAnsi="Arial" w:cs="Arial"/>
          <w:iCs/>
          <w:sz w:val="24"/>
          <w:szCs w:val="24"/>
          <w:lang w:val="es-AR" w:eastAsia="es-ES"/>
        </w:rPr>
        <w:t>nueva, de ampliación o modificación para la instalación de estructuras de telecomunicaciones tipo luminaria, misma que deberá ser analizada por la Dirección de Obras Públicas de este H. Ayuntamiento.</w:t>
      </w:r>
    </w:p>
    <w:p w:rsidR="00A77C61" w:rsidRPr="00695E81" w:rsidRDefault="00A77C61" w:rsidP="00A77C61">
      <w:pPr>
        <w:numPr>
          <w:ilvl w:val="0"/>
          <w:numId w:val="3"/>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Gastos de administración, manten</w:t>
      </w:r>
      <w:r>
        <w:rPr>
          <w:rFonts w:ascii="Arial" w:eastAsia="Times New Roman" w:hAnsi="Arial" w:cs="Arial"/>
          <w:iCs/>
          <w:sz w:val="24"/>
          <w:szCs w:val="24"/>
          <w:lang w:eastAsia="es-ES"/>
        </w:rPr>
        <w:t>imiento y conservación del área</w:t>
      </w:r>
      <w:r w:rsidRPr="00695E81">
        <w:rPr>
          <w:rFonts w:ascii="Arial" w:eastAsia="Times New Roman" w:hAnsi="Arial" w:cs="Arial"/>
          <w:iCs/>
          <w:sz w:val="24"/>
          <w:szCs w:val="24"/>
          <w:lang w:eastAsia="es-ES"/>
        </w:rPr>
        <w:t xml:space="preserve">, así como de la estructura de telecomunicaciones tipo luminaria, serán cubiertos por la empresa solicitante del espacio público en arrendamiento.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Realizar los mantenimientos necesarios a la estructura de telecomunicaciones tipo iluminaria, para que este siempre en buen estado y no ponga en riesgo la integridad de los vecinos aledaños a la zona.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Ofrecer gratuitamente el servicio de transmisión bidirediccional de datos inalámbricos (INTERNET) con una capacidad mínimo de 8 Megabytes.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Permitir la instalación de equipo de circuito cerrado para el Departamento de Seguridad Pública en la estructura de Telecomunicaciones tipo luminaria.</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Se obligan a no ceder, o traspasa, ni transmitir bajo ninguna forma perpetuada por la ley los derechos y obligaciones del contrato de arrendamiento.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No permitir el uso, ni el goce de la estructura de  telecomunicaciones tipo iluminaria, a otras personas físicas y/o morales.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No colocar publicidad comercial en el cuerpo de la estructura de  telecomunicaciones tipo iluminaria</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Cuando la autoridad requiera del espacio para la ejecución de trabajos que impliquen el uso del mismo en el cual se encuentre la estructura de  telecomunicaciones tipo iluminaria, la empresa deberá reubicar el mismo en un radio de 100.00  Metros.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Adoptar 2 dos estructuras  de alumbrado público que se ubiquen dentro de un radio de 50.00 Metros respecto de la estructura de  telecomunicaciones tipo iluminaria, instalado por la empresa”.</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Proponiendo una tarifa mensual para el arrendamiento en base a lo que pagan a particulares en la zona, el pago mínimo mensual de $15,000.00 (QUINCE MIL PESOS 00/100 M.N.) máximo a $20,000.00 (VEINTE MIL PESOS 00/100 M.N.) en razón de la plusvalía, por cada espacio público, misma que se incrementará 5% anual, dicho incremento se hará al inicio del año conforme al INPC (Índice Nacional de Precios al Consumidor), de conformidad con el artículo 34 y 37 de la Ley de Ingresos del Estado de Jalisco vigente, así mismo deberá contar con la renovación de la licencia y permisos correspondientes.</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La forma de pago sobre las contraprestaciones se hará ante la ventanilla de la Tesorería Municipal, donde se les otorgará recibo oficial correspondiente, para los efectos legales a los que haya lugar.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La empresa se obliga a dar  el mantenimiento preventivo y correctivo de la estructura de  telecomunicaciones tipo iluminaria.</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Las partes del contrato de arrendamiento se someterán a la jurisdicción de los Tribunales y Juzgados del Décimo Cuarto Partido Judicial de Zapotlán el Grande, Jalisco. </w:t>
      </w:r>
    </w:p>
    <w:p w:rsidR="00A77C61" w:rsidRPr="00695E81" w:rsidRDefault="00A77C61" w:rsidP="00A77C61">
      <w:pPr>
        <w:numPr>
          <w:ilvl w:val="0"/>
          <w:numId w:val="3"/>
        </w:numPr>
        <w:spacing w:after="0" w:line="240" w:lineRule="auto"/>
        <w:jc w:val="both"/>
        <w:rPr>
          <w:rFonts w:ascii="Arial" w:eastAsia="Times New Roman" w:hAnsi="Arial" w:cs="Arial"/>
          <w:iCs/>
          <w:sz w:val="24"/>
          <w:szCs w:val="24"/>
          <w:lang w:eastAsia="es-ES"/>
        </w:rPr>
      </w:pPr>
      <w:r w:rsidRPr="00695E81">
        <w:rPr>
          <w:rFonts w:ascii="Arial" w:eastAsia="Times New Roman" w:hAnsi="Arial" w:cs="Arial"/>
          <w:iCs/>
          <w:sz w:val="24"/>
          <w:szCs w:val="24"/>
          <w:lang w:eastAsia="es-ES"/>
        </w:rPr>
        <w:t xml:space="preserve">De no cumplirse estas condicionantes, y no apegarse a lo establecido por los artículos 1980 al 2037 del Código Civil de Jalisco, el contrato dejará de surtir sus efectos y será revocado en forma inmediata, facultando para tal efecto al Síndico Municipal a establecer la clausulas exorbitantes, que garanticen la reintegración del predio al Municipio en caso de incumplimiento.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En caso de incumplimiento de los requisitos, será causa de recisión, pagando por concepto de daños y perjuicios, el monto equivalente al valor del 60% del valor del contrato.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Pagar ante Comisión Federal de electricidad el consumo de energía tanto de los equipos como de las luminarias adosadas a la estructura.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Las empresas se obligan a tramitar por su cuenta y cargo cualquier permiso, licencia, validación y/o autorización que requieran para la instalación de las antenas  de la estructura de telecomunicaciones tipo luminaria, y será de su exclusiva responsabilidad cualquier multa, sanción o procedimiento o cualquier situación que se derive del inmueble arrendado en la proveeduría de telecomunicaciones e instalación de estructura de telecomunicación tipo luminaria y equipos radiantes  y en consecuencia deberá sacar a paz y a salvo al Ayuntamiento por cualquier responsabilidad que se derive de dichos servicios.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Las empresas por su exclusiva cuenta y costo, se obligan a reparar todos aquellos deterioros, ocasionados al inmueble objeto del presente contrato, causados por la instalación, uso, operación, explotación, funcionamiento, aprovechamiento, mantenimiento y desmonte de sus instalaciones.</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Una vez terminado la vigencia del contrato de arrendamiento y/o por cualquier causa y/o incluyendo por recisión las empresas retirarán en un  plazo máximo de 60 sesenta días hábiles, las instalaciones de la estructura de telecomunicaciones tipo luminaria que se encuentren en el inmueble, y que en razón de su propia naturaleza, sean removibles y no provoquen daños estructurales al inmuebles donde se encuentran instaladas, quedando prohibido retirar cualquier  equipo de la empresa por el plazo únicamente de los 60 días, respetando en su caso equipo que forma parte del patrimonio municipal. </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La empresa se compromete y se obliga a responder por daños y perjuicios que resulten con motivo del uso del inmueble arrendado, en la proveeduría de servicios de telecomunicaciones y la instalación de estructuras de telecomunicaciones tipo iluminaria, así como los dispositivos radiantes para equipo de telecomunicaciones, y por lo tanto se obliga a cubrir los costos que se originen por las reparaciones, restitución de equipos, materiales, mano de obra, y demás que causen, así como cubrir daños y perjuicios que se causen, con motivo del operación y mantenimiento del sistema, ya sea en las propias instalaciones del arrendador, o para con cualquier autoridad o tercero que resulte afectado, y para el caso de que por cualquier circunstancia, se llegará a atribuir responsabilidad alguna al arrendador, derivada del presente contrato de arrendamiento, o este hubiere erogado cantidad alguna por concepto de indemnización , como consecuencia de los servicios y operación, el arrendador tendrá todas las facultades para repetir contra el arrendatario, a fin de que sean cubiertos lo gastos erogados por tal concepto.</w:t>
      </w:r>
    </w:p>
    <w:p w:rsidR="00A77C61" w:rsidRPr="00695E81" w:rsidRDefault="00A77C61" w:rsidP="00A77C61">
      <w:pPr>
        <w:numPr>
          <w:ilvl w:val="0"/>
          <w:numId w:val="3"/>
        </w:numPr>
        <w:spacing w:after="0" w:line="240" w:lineRule="auto"/>
        <w:jc w:val="both"/>
        <w:rPr>
          <w:rFonts w:ascii="Arial" w:eastAsia="Times New Roman" w:hAnsi="Arial" w:cs="Arial"/>
          <w:bCs/>
          <w:iCs/>
          <w:sz w:val="24"/>
          <w:szCs w:val="24"/>
          <w:lang w:eastAsia="es-ES"/>
        </w:rPr>
      </w:pPr>
      <w:r w:rsidRPr="00695E81">
        <w:rPr>
          <w:rFonts w:ascii="Arial" w:eastAsia="Times New Roman" w:hAnsi="Arial" w:cs="Arial"/>
          <w:bCs/>
          <w:iCs/>
          <w:sz w:val="24"/>
          <w:szCs w:val="24"/>
          <w:lang w:eastAsia="es-ES"/>
        </w:rPr>
        <w:t xml:space="preserve"> Las empresas manifiestan y se obligan a que el personal que designen y/o contraten para la instalación de la estructura de telecomunicaciones tipo luminaria, permanecerán bajo su dirección, subordinación y dependencia, por lo que en ningún momento existirá relación laboral alguna con el Ayuntamiento, ni operara figura de patrón sustituto o solidario. </w:t>
      </w:r>
    </w:p>
    <w:p w:rsidR="00A77C61" w:rsidRDefault="00A77C61" w:rsidP="00A77C61">
      <w:pPr>
        <w:spacing w:after="0" w:line="240" w:lineRule="auto"/>
        <w:jc w:val="both"/>
        <w:rPr>
          <w:rFonts w:ascii="Arial" w:eastAsia="Times New Roman" w:hAnsi="Arial" w:cs="Arial"/>
          <w:sz w:val="24"/>
          <w:szCs w:val="24"/>
          <w:lang w:val="es-ES" w:eastAsia="es-ES"/>
        </w:rPr>
      </w:pPr>
    </w:p>
    <w:p w:rsidR="00A77C61" w:rsidRPr="00C04F06" w:rsidRDefault="00A77C61" w:rsidP="00A77C61">
      <w:pPr>
        <w:spacing w:after="0" w:line="240" w:lineRule="auto"/>
        <w:jc w:val="both"/>
        <w:rPr>
          <w:rFonts w:ascii="Arial" w:eastAsia="Times New Roman" w:hAnsi="Arial" w:cs="Arial"/>
          <w:sz w:val="24"/>
          <w:szCs w:val="24"/>
          <w:lang w:val="es-ES" w:eastAsia="es-ES"/>
        </w:rPr>
      </w:pPr>
    </w:p>
    <w:p w:rsidR="00A77C61" w:rsidRPr="00C04F06" w:rsidRDefault="00A77C61" w:rsidP="00A77C61">
      <w:pPr>
        <w:spacing w:after="0" w:line="240" w:lineRule="auto"/>
        <w:ind w:firstLine="708"/>
        <w:jc w:val="both"/>
        <w:rPr>
          <w:rFonts w:ascii="Arial" w:eastAsia="Times New Roman" w:hAnsi="Arial" w:cs="Arial"/>
          <w:sz w:val="24"/>
          <w:szCs w:val="24"/>
          <w:lang w:eastAsia="es-ES"/>
        </w:rPr>
      </w:pPr>
      <w:r w:rsidRPr="00C04F06">
        <w:rPr>
          <w:rFonts w:ascii="Arial" w:eastAsia="Times New Roman" w:hAnsi="Arial" w:cs="Arial"/>
          <w:b/>
          <w:sz w:val="24"/>
          <w:szCs w:val="24"/>
          <w:lang w:val="es-ES" w:eastAsia="es-ES"/>
        </w:rPr>
        <w:t>4.- Clausura.-</w:t>
      </w:r>
      <w:r w:rsidRPr="00C04F06">
        <w:rPr>
          <w:rFonts w:ascii="Arial" w:eastAsia="Times New Roman" w:hAnsi="Arial" w:cs="Arial"/>
          <w:sz w:val="24"/>
          <w:szCs w:val="24"/>
          <w:lang w:eastAsia="es-ES"/>
        </w:rPr>
        <w:t xml:space="preserve">No habiendo más asuntos que tratar se da por finalizada la presente siendo las </w:t>
      </w:r>
      <w:r>
        <w:rPr>
          <w:rFonts w:ascii="Arial" w:eastAsia="Times New Roman" w:hAnsi="Arial" w:cs="Arial"/>
          <w:sz w:val="24"/>
          <w:szCs w:val="24"/>
          <w:lang w:eastAsia="es-ES"/>
        </w:rPr>
        <w:t>12:59 horas del día 07 siete de Abril</w:t>
      </w:r>
      <w:r w:rsidRPr="00C04F06">
        <w:rPr>
          <w:rFonts w:ascii="Arial" w:eastAsia="Times New Roman" w:hAnsi="Arial" w:cs="Arial"/>
          <w:sz w:val="24"/>
          <w:szCs w:val="24"/>
          <w:lang w:eastAsia="es-ES"/>
        </w:rPr>
        <w:t xml:space="preserve"> del año 2016, firmando para constancia los que intervinieron.</w:t>
      </w:r>
    </w:p>
    <w:p w:rsidR="00A77C61" w:rsidRPr="00C04F06" w:rsidRDefault="00A77C61" w:rsidP="00A77C61">
      <w:pPr>
        <w:spacing w:after="0" w:line="240" w:lineRule="auto"/>
        <w:rPr>
          <w:rFonts w:ascii="Arial" w:eastAsia="Times New Roman" w:hAnsi="Arial" w:cs="Arial"/>
          <w:sz w:val="24"/>
          <w:szCs w:val="24"/>
          <w:lang w:eastAsia="es-MX"/>
        </w:rPr>
      </w:pPr>
    </w:p>
    <w:p w:rsidR="00A77C61" w:rsidRPr="00C04F06" w:rsidRDefault="00A77C61" w:rsidP="00A77C61">
      <w:pPr>
        <w:spacing w:after="0" w:line="240" w:lineRule="auto"/>
        <w:jc w:val="center"/>
        <w:rPr>
          <w:rFonts w:ascii="Arial" w:eastAsia="Times New Roman" w:hAnsi="Arial" w:cs="Arial"/>
          <w:b/>
          <w:szCs w:val="20"/>
          <w:lang w:val="es-ES" w:eastAsia="es-MX"/>
        </w:rPr>
      </w:pPr>
      <w:r w:rsidRPr="00C04F06">
        <w:rPr>
          <w:rFonts w:ascii="Arial" w:eastAsia="Times New Roman" w:hAnsi="Arial" w:cs="Arial"/>
          <w:b/>
          <w:szCs w:val="24"/>
          <w:lang w:eastAsia="es-ES"/>
        </w:rPr>
        <w:t xml:space="preserve"> </w:t>
      </w:r>
      <w:r w:rsidRPr="00C04F06">
        <w:rPr>
          <w:rFonts w:ascii="Arial" w:eastAsia="Times New Roman" w:hAnsi="Arial" w:cs="Arial"/>
          <w:b/>
          <w:szCs w:val="20"/>
          <w:lang w:val="es-ES" w:eastAsia="es-MX"/>
        </w:rPr>
        <w:t>A T E N T A M E N T E</w:t>
      </w:r>
    </w:p>
    <w:p w:rsidR="00A77C61" w:rsidRPr="00C04F06" w:rsidRDefault="00A77C61" w:rsidP="00A77C61">
      <w:pPr>
        <w:spacing w:after="0" w:line="240" w:lineRule="auto"/>
        <w:jc w:val="center"/>
        <w:rPr>
          <w:rFonts w:ascii="Arial" w:eastAsia="Times New Roman" w:hAnsi="Arial" w:cs="Arial"/>
          <w:b/>
          <w:szCs w:val="20"/>
          <w:lang w:val="es-ES" w:eastAsia="es-MX"/>
        </w:rPr>
      </w:pPr>
      <w:r w:rsidRPr="00C04F06">
        <w:rPr>
          <w:rFonts w:ascii="Arial" w:eastAsia="Times New Roman" w:hAnsi="Arial" w:cs="Arial"/>
          <w:b/>
          <w:szCs w:val="20"/>
          <w:lang w:val="es-ES" w:eastAsia="es-MX"/>
        </w:rPr>
        <w:t>SUFRAGIO EFECTIVO. NO REELECCIÓN</w:t>
      </w:r>
    </w:p>
    <w:p w:rsidR="00A77C61" w:rsidRPr="00C04F06" w:rsidRDefault="00A77C61" w:rsidP="00A77C61">
      <w:pPr>
        <w:spacing w:after="0" w:line="240" w:lineRule="auto"/>
        <w:jc w:val="center"/>
        <w:rPr>
          <w:rFonts w:ascii="Segoe Print" w:eastAsia="Times New Roman" w:hAnsi="Segoe Print" w:cs="Arial"/>
          <w:b/>
          <w:i/>
          <w:sz w:val="18"/>
          <w:szCs w:val="20"/>
          <w:lang w:val="es-ES" w:eastAsia="es-MX"/>
        </w:rPr>
      </w:pPr>
      <w:r w:rsidRPr="00C04F06">
        <w:rPr>
          <w:rFonts w:ascii="Segoe Print" w:eastAsia="Times New Roman" w:hAnsi="Segoe Print" w:cs="Arial"/>
          <w:b/>
          <w:i/>
          <w:sz w:val="18"/>
          <w:szCs w:val="20"/>
          <w:lang w:val="es-ES" w:eastAsia="es-MX"/>
        </w:rPr>
        <w:t xml:space="preserve">“2016, Año del Centenario de Natalicio de la Internacional Compositora Consuelito Velázquez” </w:t>
      </w:r>
    </w:p>
    <w:p w:rsidR="00A77C61" w:rsidRPr="00C04F06" w:rsidRDefault="00A77C61" w:rsidP="00A77C61">
      <w:pPr>
        <w:spacing w:after="0" w:line="240" w:lineRule="auto"/>
        <w:jc w:val="center"/>
        <w:rPr>
          <w:rFonts w:ascii="Segoe Print" w:eastAsia="Times New Roman" w:hAnsi="Segoe Print" w:cs="Arial"/>
          <w:b/>
          <w:i/>
          <w:sz w:val="18"/>
          <w:szCs w:val="20"/>
          <w:lang w:val="es-ES" w:eastAsia="es-MX"/>
        </w:rPr>
      </w:pPr>
      <w:r w:rsidRPr="00C04F06">
        <w:rPr>
          <w:rFonts w:ascii="Segoe Print" w:eastAsia="Times New Roman" w:hAnsi="Segoe Print" w:cs="Arial"/>
          <w:b/>
          <w:i/>
          <w:sz w:val="18"/>
          <w:szCs w:val="20"/>
          <w:lang w:val="es-ES" w:eastAsia="es-MX"/>
        </w:rPr>
        <w:t>CD. GUZMAN, MUNICIPIO DE ZAPOT</w:t>
      </w:r>
      <w:r>
        <w:rPr>
          <w:rFonts w:ascii="Segoe Print" w:eastAsia="Times New Roman" w:hAnsi="Segoe Print" w:cs="Arial"/>
          <w:b/>
          <w:i/>
          <w:sz w:val="18"/>
          <w:szCs w:val="20"/>
          <w:lang w:val="es-ES" w:eastAsia="es-MX"/>
        </w:rPr>
        <w:t>LAN EL GRANDE, JALISCO, ABRIL 07</w:t>
      </w:r>
      <w:r w:rsidRPr="00C04F06">
        <w:rPr>
          <w:rFonts w:ascii="Segoe Print" w:eastAsia="Times New Roman" w:hAnsi="Segoe Print" w:cs="Arial"/>
          <w:b/>
          <w:i/>
          <w:sz w:val="18"/>
          <w:szCs w:val="20"/>
          <w:lang w:val="es-ES" w:eastAsia="es-MX"/>
        </w:rPr>
        <w:t xml:space="preserve"> DE 2016</w:t>
      </w:r>
    </w:p>
    <w:p w:rsidR="00A77C61" w:rsidRPr="00C04F06" w:rsidRDefault="00A77C61" w:rsidP="00A77C61">
      <w:pPr>
        <w:spacing w:after="0" w:line="240" w:lineRule="auto"/>
        <w:jc w:val="center"/>
        <w:rPr>
          <w:rFonts w:ascii="Segoe Print" w:eastAsia="Times New Roman" w:hAnsi="Segoe Print" w:cs="Arial"/>
          <w:b/>
          <w:i/>
          <w:sz w:val="18"/>
          <w:szCs w:val="20"/>
          <w:lang w:val="es-ES" w:eastAsia="es-MX"/>
        </w:rPr>
      </w:pPr>
    </w:p>
    <w:p w:rsidR="00A77C61" w:rsidRPr="00C04F06" w:rsidRDefault="00A77C61" w:rsidP="00A77C61">
      <w:pPr>
        <w:spacing w:after="0" w:line="240" w:lineRule="auto"/>
        <w:jc w:val="center"/>
        <w:rPr>
          <w:rFonts w:ascii="Arial" w:eastAsia="Times New Roman" w:hAnsi="Arial" w:cs="Arial"/>
          <w:b/>
          <w:sz w:val="24"/>
          <w:szCs w:val="24"/>
          <w:lang w:val="es-ES" w:eastAsia="es-ES"/>
        </w:rPr>
      </w:pPr>
      <w:r w:rsidRPr="00C04F06">
        <w:rPr>
          <w:rFonts w:ascii="Arial" w:eastAsia="Times New Roman" w:hAnsi="Arial" w:cs="Arial"/>
          <w:b/>
          <w:sz w:val="24"/>
          <w:szCs w:val="24"/>
          <w:lang w:val="es-ES" w:eastAsia="es-ES"/>
        </w:rPr>
        <w:t>LA COMISIÓN EDILICIA OBRAS PÚBLICAS, PLANEACIÓN URBANA Y REGULARIZACIÓN DE LA TENENCIA DE LA TIERRA, y COMISIÓN DE HACIENDA PÚBLICA Y PATRIMONIO MUNICIPAL.</w:t>
      </w:r>
    </w:p>
    <w:p w:rsidR="00A77C61" w:rsidRPr="00C04F06" w:rsidRDefault="00A77C61" w:rsidP="00A77C61">
      <w:pPr>
        <w:spacing w:after="0" w:line="240" w:lineRule="auto"/>
        <w:jc w:val="center"/>
        <w:rPr>
          <w:rFonts w:ascii="Arial" w:eastAsia="Times New Roman" w:hAnsi="Arial" w:cs="Arial"/>
          <w:b/>
          <w:sz w:val="24"/>
          <w:szCs w:val="24"/>
          <w:lang w:val="es-ES" w:eastAsia="es-ES"/>
        </w:rPr>
      </w:pPr>
    </w:p>
    <w:p w:rsidR="00A77C61" w:rsidRPr="00C04F06" w:rsidRDefault="00A77C61" w:rsidP="00A77C61">
      <w:pPr>
        <w:spacing w:after="0" w:line="240" w:lineRule="auto"/>
        <w:jc w:val="center"/>
        <w:rPr>
          <w:rFonts w:ascii="Arial" w:eastAsia="Times New Roman" w:hAnsi="Arial" w:cs="Arial"/>
          <w:b/>
          <w:lang w:val="es-ES" w:eastAsia="es-ES"/>
        </w:rPr>
      </w:pPr>
    </w:p>
    <w:p w:rsidR="00A77C61" w:rsidRPr="00C04F06" w:rsidRDefault="00A77C61" w:rsidP="00A77C61">
      <w:pPr>
        <w:spacing w:after="0" w:line="240" w:lineRule="auto"/>
        <w:jc w:val="center"/>
        <w:rPr>
          <w:rFonts w:ascii="Arial" w:eastAsia="Times New Roman" w:hAnsi="Arial" w:cs="Arial"/>
          <w:b/>
          <w:lang w:val="es-ES" w:eastAsia="es-ES"/>
        </w:rPr>
      </w:pPr>
    </w:p>
    <w:p w:rsidR="00A77C61" w:rsidRPr="00C04F06" w:rsidRDefault="00A77C61" w:rsidP="00A77C61">
      <w:pPr>
        <w:spacing w:after="0" w:line="240" w:lineRule="auto"/>
        <w:jc w:val="center"/>
        <w:rPr>
          <w:rFonts w:ascii="Arial" w:eastAsia="Times New Roman" w:hAnsi="Arial" w:cs="Arial"/>
          <w:b/>
          <w:lang w:val="es-ES" w:eastAsia="es-ES"/>
        </w:rPr>
      </w:pPr>
    </w:p>
    <w:p w:rsidR="00A77C61" w:rsidRPr="00C04F06" w:rsidRDefault="00A77C61" w:rsidP="00A77C61">
      <w:pPr>
        <w:spacing w:after="0" w:line="240" w:lineRule="auto"/>
        <w:jc w:val="center"/>
        <w:rPr>
          <w:rFonts w:ascii="Arial" w:eastAsia="Times New Roman" w:hAnsi="Arial" w:cs="Arial"/>
          <w:b/>
          <w:lang w:val="es-ES" w:eastAsia="es-ES"/>
        </w:rPr>
      </w:pPr>
      <w:r w:rsidRPr="00C04F06">
        <w:rPr>
          <w:rFonts w:ascii="Arial" w:eastAsia="Times New Roman" w:hAnsi="Arial" w:cs="Arial"/>
          <w:b/>
          <w:bCs/>
          <w:iCs/>
          <w:color w:val="000000"/>
          <w:lang w:val="es-ES" w:eastAsia="es-ES"/>
        </w:rPr>
        <w:t xml:space="preserve">C. J. DE JESUS GUERRERO ZUÑIGA            </w:t>
      </w:r>
    </w:p>
    <w:p w:rsidR="00A77C61" w:rsidRPr="00C04F06" w:rsidRDefault="00A77C61" w:rsidP="00A77C61">
      <w:pPr>
        <w:spacing w:after="0" w:line="240" w:lineRule="auto"/>
        <w:jc w:val="center"/>
        <w:rPr>
          <w:rFonts w:ascii="Arial" w:eastAsia="Times New Roman" w:hAnsi="Arial" w:cs="Arial"/>
          <w:bCs/>
          <w:iCs/>
          <w:color w:val="000000"/>
          <w:lang w:val="es-ES" w:eastAsia="es-ES"/>
        </w:rPr>
      </w:pPr>
      <w:r w:rsidRPr="00C04F06">
        <w:rPr>
          <w:rFonts w:ascii="Arial" w:eastAsia="Times New Roman" w:hAnsi="Arial" w:cs="Arial"/>
          <w:bCs/>
          <w:iCs/>
          <w:color w:val="000000"/>
          <w:lang w:val="es-ES" w:eastAsia="es-ES"/>
        </w:rPr>
        <w:t>Regidor Presidente de la Comisión de Obras Públicas, Planeación Urbana y Regularización de la Tenencia de la Tierra, y vocal de la Comisión de Hacienda Pública y Patrimonio Municipal.</w:t>
      </w:r>
    </w:p>
    <w:p w:rsidR="00A77C61" w:rsidRPr="00C04F06" w:rsidRDefault="00A77C61" w:rsidP="00A77C61">
      <w:pPr>
        <w:spacing w:after="0" w:line="240" w:lineRule="auto"/>
        <w:jc w:val="center"/>
        <w:rPr>
          <w:rFonts w:ascii="Arial" w:eastAsia="Times New Roman" w:hAnsi="Arial" w:cs="Arial"/>
          <w:bCs/>
          <w:iCs/>
          <w:color w:val="000000"/>
          <w:lang w:val="es-ES" w:eastAsia="es-ES"/>
        </w:rPr>
      </w:pPr>
    </w:p>
    <w:p w:rsidR="00A77C61" w:rsidRPr="00C04F06" w:rsidRDefault="00A77C61" w:rsidP="00A77C61">
      <w:pPr>
        <w:spacing w:after="0" w:line="240" w:lineRule="auto"/>
        <w:jc w:val="center"/>
        <w:rPr>
          <w:rFonts w:ascii="Arial" w:eastAsia="Times New Roman" w:hAnsi="Arial" w:cs="Arial"/>
          <w:bCs/>
          <w:iCs/>
          <w:color w:val="000000"/>
          <w:lang w:val="es-ES" w:eastAsia="es-ES"/>
        </w:rPr>
      </w:pPr>
    </w:p>
    <w:p w:rsidR="00A77C61" w:rsidRPr="00C04F06" w:rsidRDefault="00A77C61" w:rsidP="00A77C61">
      <w:pPr>
        <w:spacing w:after="0" w:line="240" w:lineRule="auto"/>
        <w:jc w:val="center"/>
        <w:rPr>
          <w:rFonts w:ascii="Arial" w:eastAsia="Times New Roman" w:hAnsi="Arial" w:cs="Arial"/>
          <w:bCs/>
          <w:iCs/>
          <w:color w:val="000000"/>
          <w:lang w:val="es-ES" w:eastAsia="es-ES"/>
        </w:rPr>
      </w:pPr>
    </w:p>
    <w:p w:rsidR="00A77C61" w:rsidRPr="00C04F06" w:rsidRDefault="00A77C61" w:rsidP="00A77C61">
      <w:pPr>
        <w:spacing w:after="0" w:line="240" w:lineRule="auto"/>
        <w:jc w:val="center"/>
        <w:rPr>
          <w:rFonts w:ascii="Arial" w:eastAsia="Times New Roman" w:hAnsi="Arial" w:cs="Arial"/>
          <w:bCs/>
          <w:iCs/>
          <w:color w:val="000000"/>
          <w:lang w:val="es-ES" w:eastAsia="es-ES"/>
        </w:rPr>
      </w:pPr>
    </w:p>
    <w:p w:rsidR="00A77C61" w:rsidRPr="00C04F06" w:rsidRDefault="00A77C61" w:rsidP="00A77C61">
      <w:pPr>
        <w:spacing w:after="0" w:line="240" w:lineRule="auto"/>
        <w:jc w:val="both"/>
        <w:rPr>
          <w:rFonts w:ascii="Arial" w:eastAsia="Times New Roman" w:hAnsi="Arial" w:cs="Arial"/>
          <w:b/>
          <w:bCs/>
          <w:iCs/>
          <w:color w:val="000000"/>
          <w:lang w:val="es-ES" w:eastAsia="es-ES"/>
        </w:rPr>
      </w:pPr>
      <w:r w:rsidRPr="00C04F06">
        <w:rPr>
          <w:rFonts w:ascii="Arial" w:eastAsia="Times New Roman" w:hAnsi="Arial" w:cs="Arial"/>
          <w:b/>
          <w:bCs/>
          <w:iCs/>
          <w:color w:val="000000"/>
          <w:lang w:val="es-ES" w:eastAsia="es-ES"/>
        </w:rPr>
        <w:t xml:space="preserve">LIC. MARÍA LUIS JUAN MORALES                  LIC. ROBERTO MENDOZA CÁRDENAS </w:t>
      </w:r>
    </w:p>
    <w:p w:rsidR="00A77C61" w:rsidRPr="00C04F06" w:rsidRDefault="00A77C61" w:rsidP="00A77C61">
      <w:pPr>
        <w:spacing w:after="0" w:line="240" w:lineRule="auto"/>
        <w:jc w:val="both"/>
        <w:rPr>
          <w:rFonts w:ascii="Arial" w:eastAsia="Times New Roman" w:hAnsi="Arial" w:cs="Arial"/>
          <w:bCs/>
          <w:iCs/>
          <w:color w:val="000000"/>
          <w:lang w:val="es-ES" w:eastAsia="es-ES"/>
        </w:rPr>
      </w:pPr>
      <w:r w:rsidRPr="00C04F06">
        <w:rPr>
          <w:rFonts w:ascii="Arial" w:eastAsia="Times New Roman" w:hAnsi="Arial" w:cs="Arial"/>
          <w:bCs/>
          <w:iCs/>
          <w:color w:val="000000"/>
          <w:lang w:val="es-ES" w:eastAsia="es-ES"/>
        </w:rPr>
        <w:t xml:space="preserve">             Reg</w:t>
      </w:r>
      <w:r>
        <w:rPr>
          <w:rFonts w:ascii="Arial" w:eastAsia="Times New Roman" w:hAnsi="Arial" w:cs="Arial"/>
          <w:bCs/>
          <w:iCs/>
          <w:color w:val="000000"/>
          <w:lang w:val="es-ES" w:eastAsia="es-ES"/>
        </w:rPr>
        <w:t>idor Integrante</w:t>
      </w:r>
      <w:r>
        <w:rPr>
          <w:rFonts w:ascii="Arial" w:eastAsia="Times New Roman" w:hAnsi="Arial" w:cs="Arial"/>
          <w:bCs/>
          <w:iCs/>
          <w:color w:val="000000"/>
          <w:lang w:val="es-ES" w:eastAsia="es-ES"/>
        </w:rPr>
        <w:tab/>
      </w:r>
      <w:r>
        <w:rPr>
          <w:rFonts w:ascii="Arial" w:eastAsia="Times New Roman" w:hAnsi="Arial" w:cs="Arial"/>
          <w:bCs/>
          <w:iCs/>
          <w:color w:val="000000"/>
          <w:lang w:val="es-ES" w:eastAsia="es-ES"/>
        </w:rPr>
        <w:tab/>
      </w:r>
      <w:r>
        <w:rPr>
          <w:rFonts w:ascii="Arial" w:eastAsia="Times New Roman" w:hAnsi="Arial" w:cs="Arial"/>
          <w:bCs/>
          <w:iCs/>
          <w:color w:val="000000"/>
          <w:lang w:val="es-ES" w:eastAsia="es-ES"/>
        </w:rPr>
        <w:tab/>
      </w:r>
      <w:r>
        <w:rPr>
          <w:rFonts w:ascii="Arial" w:eastAsia="Times New Roman" w:hAnsi="Arial" w:cs="Arial"/>
          <w:bCs/>
          <w:iCs/>
          <w:color w:val="000000"/>
          <w:lang w:val="es-ES" w:eastAsia="es-ES"/>
        </w:rPr>
        <w:tab/>
      </w:r>
      <w:r>
        <w:rPr>
          <w:rFonts w:ascii="Arial" w:eastAsia="Times New Roman" w:hAnsi="Arial" w:cs="Arial"/>
          <w:bCs/>
          <w:iCs/>
          <w:color w:val="000000"/>
          <w:lang w:val="es-ES" w:eastAsia="es-ES"/>
        </w:rPr>
        <w:tab/>
        <w:t xml:space="preserve">          Regidor  Integrante</w:t>
      </w:r>
    </w:p>
    <w:p w:rsidR="00A77C61" w:rsidRPr="00C04F06" w:rsidRDefault="00A77C61" w:rsidP="00A77C61">
      <w:pPr>
        <w:spacing w:after="0" w:line="240" w:lineRule="auto"/>
        <w:jc w:val="both"/>
        <w:rPr>
          <w:rFonts w:ascii="Arial" w:eastAsia="Times New Roman" w:hAnsi="Arial" w:cs="Arial"/>
          <w:bCs/>
          <w:iCs/>
          <w:color w:val="000000"/>
          <w:lang w:val="es-ES" w:eastAsia="es-ES"/>
        </w:rPr>
      </w:pPr>
    </w:p>
    <w:p w:rsidR="00A77C61" w:rsidRPr="00C04F06" w:rsidRDefault="00A77C61" w:rsidP="00A77C61">
      <w:pPr>
        <w:spacing w:after="0" w:line="240" w:lineRule="auto"/>
        <w:jc w:val="both"/>
        <w:rPr>
          <w:rFonts w:ascii="Arial" w:eastAsia="Times New Roman" w:hAnsi="Arial" w:cs="Arial"/>
          <w:bCs/>
          <w:iCs/>
          <w:color w:val="000000"/>
          <w:lang w:val="es-ES" w:eastAsia="es-ES"/>
        </w:rPr>
      </w:pPr>
    </w:p>
    <w:p w:rsidR="00A77C61" w:rsidRPr="00C04F06" w:rsidRDefault="00A77C61" w:rsidP="00A77C61">
      <w:pPr>
        <w:spacing w:after="0" w:line="240" w:lineRule="auto"/>
        <w:jc w:val="both"/>
        <w:rPr>
          <w:rFonts w:ascii="Arial" w:eastAsia="Times New Roman" w:hAnsi="Arial" w:cs="Arial"/>
          <w:bCs/>
          <w:iCs/>
          <w:color w:val="000000"/>
          <w:lang w:val="es-ES" w:eastAsia="es-ES"/>
        </w:rPr>
      </w:pPr>
    </w:p>
    <w:p w:rsidR="00A77C61" w:rsidRPr="00C04F06" w:rsidRDefault="00A77C61" w:rsidP="00A77C61">
      <w:pPr>
        <w:spacing w:after="0" w:line="240" w:lineRule="auto"/>
        <w:jc w:val="both"/>
        <w:rPr>
          <w:rFonts w:ascii="Arial" w:eastAsia="Times New Roman" w:hAnsi="Arial" w:cs="Arial"/>
          <w:bCs/>
          <w:iCs/>
          <w:color w:val="000000"/>
          <w:lang w:val="es-ES" w:eastAsia="es-ES"/>
        </w:rPr>
      </w:pPr>
    </w:p>
    <w:p w:rsidR="00A77C61" w:rsidRPr="00C04F06" w:rsidRDefault="00A77C61" w:rsidP="00A77C61">
      <w:pPr>
        <w:spacing w:after="0" w:line="240" w:lineRule="auto"/>
        <w:jc w:val="both"/>
        <w:rPr>
          <w:rFonts w:ascii="Arial" w:eastAsia="Times New Roman" w:hAnsi="Arial" w:cs="Arial"/>
          <w:bCs/>
          <w:iCs/>
          <w:color w:val="000000"/>
          <w:lang w:val="es-ES" w:eastAsia="es-ES"/>
        </w:rPr>
      </w:pPr>
    </w:p>
    <w:p w:rsidR="00A77C61" w:rsidRPr="00C04F06" w:rsidRDefault="00A77C61" w:rsidP="00A77C61">
      <w:pPr>
        <w:spacing w:after="0" w:line="240" w:lineRule="auto"/>
        <w:jc w:val="both"/>
        <w:rPr>
          <w:rFonts w:ascii="Arial" w:eastAsia="Times New Roman" w:hAnsi="Arial" w:cs="Arial"/>
          <w:b/>
          <w:bCs/>
          <w:iCs/>
          <w:color w:val="000000"/>
          <w:lang w:val="es-ES" w:eastAsia="es-ES"/>
        </w:rPr>
      </w:pPr>
    </w:p>
    <w:p w:rsidR="00A77C61" w:rsidRPr="00C04F06" w:rsidRDefault="00A77C61" w:rsidP="00A77C61">
      <w:pPr>
        <w:spacing w:after="0" w:line="240" w:lineRule="auto"/>
        <w:jc w:val="both"/>
        <w:rPr>
          <w:rFonts w:ascii="Arial" w:eastAsia="Times New Roman" w:hAnsi="Arial" w:cs="Arial"/>
          <w:b/>
          <w:bCs/>
          <w:iCs/>
          <w:color w:val="000000"/>
          <w:lang w:val="es-ES" w:eastAsia="es-ES"/>
        </w:rPr>
      </w:pPr>
      <w:r>
        <w:rPr>
          <w:rFonts w:ascii="Arial" w:eastAsia="Times New Roman" w:hAnsi="Arial" w:cs="Arial"/>
          <w:b/>
          <w:bCs/>
          <w:iCs/>
          <w:color w:val="000000"/>
          <w:lang w:val="es-ES" w:eastAsia="es-ES"/>
        </w:rPr>
        <w:t xml:space="preserve">C. EDUARDO GÓNZALEZ                  </w:t>
      </w:r>
      <w:r w:rsidRPr="00C04F06">
        <w:rPr>
          <w:rFonts w:ascii="Arial" w:eastAsia="Times New Roman" w:hAnsi="Arial" w:cs="Arial"/>
          <w:b/>
          <w:bCs/>
          <w:iCs/>
          <w:color w:val="000000"/>
          <w:lang w:val="es-ES" w:eastAsia="es-ES"/>
        </w:rPr>
        <w:t xml:space="preserve">     PROFR. JOSÉ LUIS VILLALVAZO DE LA CRUZ </w:t>
      </w:r>
    </w:p>
    <w:p w:rsidR="00A77C61" w:rsidRPr="00C04F06" w:rsidRDefault="00A77C61" w:rsidP="00A77C61">
      <w:pPr>
        <w:spacing w:after="0" w:line="240" w:lineRule="auto"/>
        <w:jc w:val="both"/>
        <w:rPr>
          <w:rFonts w:ascii="Arial" w:eastAsia="Times New Roman" w:hAnsi="Arial" w:cs="Arial"/>
          <w:bCs/>
          <w:iCs/>
          <w:color w:val="000000"/>
          <w:lang w:val="es-ES" w:eastAsia="es-ES"/>
        </w:rPr>
      </w:pPr>
      <w:r w:rsidRPr="00C04F06">
        <w:rPr>
          <w:rFonts w:ascii="Arial" w:eastAsia="Times New Roman" w:hAnsi="Arial" w:cs="Arial"/>
          <w:bCs/>
          <w:iCs/>
          <w:color w:val="000000"/>
          <w:lang w:val="es-ES" w:eastAsia="es-ES"/>
        </w:rPr>
        <w:t xml:space="preserve">                </w:t>
      </w:r>
      <w:r>
        <w:rPr>
          <w:rFonts w:ascii="Arial" w:eastAsia="Times New Roman" w:hAnsi="Arial" w:cs="Arial"/>
          <w:bCs/>
          <w:iCs/>
          <w:color w:val="000000"/>
          <w:lang w:val="es-ES" w:eastAsia="es-ES"/>
        </w:rPr>
        <w:t>Regidor Integrante</w:t>
      </w:r>
      <w:r w:rsidRPr="00C04F06">
        <w:rPr>
          <w:rFonts w:ascii="Arial" w:eastAsia="Times New Roman" w:hAnsi="Arial" w:cs="Arial"/>
          <w:bCs/>
          <w:iCs/>
          <w:color w:val="000000"/>
          <w:lang w:val="es-ES" w:eastAsia="es-ES"/>
        </w:rPr>
        <w:tab/>
      </w:r>
      <w:r w:rsidRPr="00C04F06">
        <w:rPr>
          <w:rFonts w:ascii="Arial" w:eastAsia="Times New Roman" w:hAnsi="Arial" w:cs="Arial"/>
          <w:bCs/>
          <w:iCs/>
          <w:color w:val="000000"/>
          <w:lang w:val="es-ES" w:eastAsia="es-ES"/>
        </w:rPr>
        <w:tab/>
      </w:r>
      <w:r w:rsidRPr="00C04F06">
        <w:rPr>
          <w:rFonts w:ascii="Arial" w:eastAsia="Times New Roman" w:hAnsi="Arial" w:cs="Arial"/>
          <w:bCs/>
          <w:iCs/>
          <w:color w:val="000000"/>
          <w:lang w:val="es-ES" w:eastAsia="es-ES"/>
        </w:rPr>
        <w:tab/>
      </w:r>
      <w:r w:rsidRPr="00C04F06">
        <w:rPr>
          <w:rFonts w:ascii="Arial" w:eastAsia="Times New Roman" w:hAnsi="Arial" w:cs="Arial"/>
          <w:bCs/>
          <w:iCs/>
          <w:color w:val="000000"/>
          <w:lang w:val="es-ES" w:eastAsia="es-ES"/>
        </w:rPr>
        <w:tab/>
      </w:r>
      <w:r w:rsidRPr="00C04F06">
        <w:rPr>
          <w:rFonts w:ascii="Arial" w:eastAsia="Times New Roman" w:hAnsi="Arial" w:cs="Arial"/>
          <w:bCs/>
          <w:iCs/>
          <w:color w:val="000000"/>
          <w:lang w:val="es-ES" w:eastAsia="es-ES"/>
        </w:rPr>
        <w:tab/>
      </w:r>
      <w:r>
        <w:rPr>
          <w:rFonts w:ascii="Arial" w:eastAsia="Times New Roman" w:hAnsi="Arial" w:cs="Arial"/>
          <w:bCs/>
          <w:iCs/>
          <w:color w:val="000000"/>
          <w:lang w:val="es-ES" w:eastAsia="es-ES"/>
        </w:rPr>
        <w:t>Regidor Integrante</w:t>
      </w:r>
    </w:p>
    <w:p w:rsidR="00A77C61" w:rsidRPr="00C04F06" w:rsidRDefault="00A77C61" w:rsidP="00A77C61">
      <w:pPr>
        <w:spacing w:after="0" w:line="240" w:lineRule="auto"/>
        <w:jc w:val="both"/>
        <w:rPr>
          <w:rFonts w:ascii="Arial" w:eastAsia="Times New Roman" w:hAnsi="Arial" w:cs="Arial"/>
          <w:bCs/>
          <w:iCs/>
          <w:color w:val="000000"/>
          <w:lang w:val="es-ES" w:eastAsia="es-ES"/>
        </w:rPr>
      </w:pPr>
    </w:p>
    <w:p w:rsidR="00A77C61" w:rsidRPr="00C04F06" w:rsidRDefault="00A77C61" w:rsidP="00A77C61">
      <w:pPr>
        <w:spacing w:after="0" w:line="240" w:lineRule="auto"/>
        <w:jc w:val="both"/>
        <w:rPr>
          <w:rFonts w:ascii="Arial" w:eastAsia="Times New Roman" w:hAnsi="Arial" w:cs="Arial"/>
          <w:bCs/>
          <w:iCs/>
          <w:color w:val="000000"/>
          <w:lang w:val="es-ES" w:eastAsia="es-ES"/>
        </w:rPr>
      </w:pPr>
    </w:p>
    <w:p w:rsidR="00A77C61" w:rsidRPr="00C04F06" w:rsidRDefault="00A77C61" w:rsidP="00A77C61">
      <w:pPr>
        <w:spacing w:after="0" w:line="240" w:lineRule="auto"/>
        <w:jc w:val="both"/>
        <w:rPr>
          <w:rFonts w:ascii="Arial" w:eastAsia="Times New Roman" w:hAnsi="Arial" w:cs="Arial"/>
          <w:b/>
          <w:bCs/>
          <w:iCs/>
          <w:color w:val="000000"/>
          <w:lang w:val="es-ES" w:eastAsia="es-ES"/>
        </w:rPr>
      </w:pPr>
    </w:p>
    <w:p w:rsidR="00A77C61" w:rsidRPr="00C04F06" w:rsidRDefault="00A77C61" w:rsidP="00A77C61">
      <w:pPr>
        <w:spacing w:after="0" w:line="240" w:lineRule="auto"/>
        <w:jc w:val="both"/>
        <w:rPr>
          <w:rFonts w:ascii="Arial" w:eastAsia="Times New Roman" w:hAnsi="Arial" w:cs="Arial"/>
          <w:b/>
          <w:bCs/>
          <w:iCs/>
          <w:color w:val="000000"/>
          <w:lang w:val="es-ES" w:eastAsia="es-ES"/>
        </w:rPr>
      </w:pPr>
      <w:r w:rsidRPr="00C04F06">
        <w:rPr>
          <w:rFonts w:ascii="Arial" w:eastAsia="Times New Roman" w:hAnsi="Arial" w:cs="Arial"/>
          <w:b/>
          <w:bCs/>
          <w:iCs/>
          <w:color w:val="000000"/>
          <w:lang w:val="es-ES" w:eastAsia="es-ES"/>
        </w:rPr>
        <w:t>LIC. LAURA ELENA MARTÍNEZ RUVALCABA       LIC. MATILDE ZEPEDA BAUTISTA</w:t>
      </w:r>
    </w:p>
    <w:p w:rsidR="00A77C61" w:rsidRPr="00C04F06" w:rsidRDefault="00A77C61" w:rsidP="00A77C61">
      <w:pPr>
        <w:spacing w:after="0" w:line="240" w:lineRule="auto"/>
        <w:jc w:val="both"/>
        <w:rPr>
          <w:rFonts w:ascii="Arial" w:eastAsia="Times New Roman" w:hAnsi="Arial" w:cs="Arial"/>
          <w:bCs/>
          <w:iCs/>
          <w:color w:val="000000"/>
          <w:lang w:val="es-ES" w:eastAsia="es-ES"/>
        </w:rPr>
      </w:pPr>
      <w:r>
        <w:rPr>
          <w:rFonts w:ascii="Arial" w:eastAsia="Times New Roman" w:hAnsi="Arial" w:cs="Arial"/>
          <w:bCs/>
          <w:iCs/>
          <w:color w:val="000000"/>
          <w:lang w:val="es-ES" w:eastAsia="es-ES"/>
        </w:rPr>
        <w:t xml:space="preserve">    </w:t>
      </w:r>
      <w:r w:rsidRPr="00C04F06">
        <w:rPr>
          <w:rFonts w:ascii="Arial" w:eastAsia="Times New Roman" w:hAnsi="Arial" w:cs="Arial"/>
          <w:bCs/>
          <w:iCs/>
          <w:color w:val="000000"/>
          <w:lang w:val="es-ES" w:eastAsia="es-ES"/>
        </w:rPr>
        <w:t xml:space="preserve"> </w:t>
      </w:r>
      <w:r>
        <w:rPr>
          <w:rFonts w:ascii="Arial" w:eastAsia="Times New Roman" w:hAnsi="Arial" w:cs="Arial"/>
          <w:bCs/>
          <w:iCs/>
          <w:color w:val="000000"/>
          <w:lang w:val="es-ES" w:eastAsia="es-ES"/>
        </w:rPr>
        <w:t>Regidor Integrante                                                                Regidor Integrante</w:t>
      </w:r>
    </w:p>
    <w:p w:rsidR="00A77C61" w:rsidRDefault="00A77C61" w:rsidP="00A77C61">
      <w:pPr>
        <w:spacing w:after="0" w:line="240" w:lineRule="auto"/>
        <w:jc w:val="both"/>
        <w:rPr>
          <w:rFonts w:ascii="Arial" w:eastAsia="Times New Roman" w:hAnsi="Arial" w:cs="Arial"/>
          <w:sz w:val="20"/>
          <w:szCs w:val="24"/>
          <w:lang w:eastAsia="es-ES"/>
        </w:rPr>
      </w:pPr>
    </w:p>
    <w:p w:rsidR="00A77C61" w:rsidRDefault="00A77C61" w:rsidP="00A77C61">
      <w:pPr>
        <w:spacing w:after="0" w:line="240" w:lineRule="auto"/>
        <w:jc w:val="both"/>
        <w:rPr>
          <w:rFonts w:ascii="Arial" w:eastAsia="Times New Roman" w:hAnsi="Arial" w:cs="Arial"/>
          <w:sz w:val="20"/>
          <w:szCs w:val="24"/>
          <w:lang w:eastAsia="es-ES"/>
        </w:rPr>
      </w:pPr>
    </w:p>
    <w:p w:rsidR="00A77C61" w:rsidRDefault="00A77C61" w:rsidP="00A77C61">
      <w:pPr>
        <w:spacing w:after="0" w:line="240" w:lineRule="auto"/>
        <w:jc w:val="both"/>
        <w:rPr>
          <w:rFonts w:ascii="Arial" w:eastAsia="Times New Roman" w:hAnsi="Arial" w:cs="Arial"/>
          <w:sz w:val="20"/>
          <w:szCs w:val="24"/>
          <w:lang w:eastAsia="es-ES"/>
        </w:rPr>
      </w:pPr>
    </w:p>
    <w:p w:rsidR="00A77C61" w:rsidRDefault="00A77C61" w:rsidP="00A77C61">
      <w:pPr>
        <w:spacing w:after="0" w:line="240" w:lineRule="auto"/>
        <w:jc w:val="both"/>
        <w:rPr>
          <w:rFonts w:ascii="Arial" w:eastAsia="Times New Roman" w:hAnsi="Arial" w:cs="Arial"/>
          <w:sz w:val="20"/>
          <w:szCs w:val="24"/>
          <w:lang w:eastAsia="es-ES"/>
        </w:rPr>
      </w:pPr>
    </w:p>
    <w:p w:rsidR="00A77C61" w:rsidRDefault="00A77C61" w:rsidP="00A77C61">
      <w:pPr>
        <w:spacing w:after="0" w:line="240" w:lineRule="auto"/>
        <w:jc w:val="both"/>
        <w:rPr>
          <w:rFonts w:ascii="Arial" w:eastAsia="Times New Roman" w:hAnsi="Arial" w:cs="Arial"/>
          <w:b/>
          <w:lang w:eastAsia="es-ES"/>
        </w:rPr>
      </w:pPr>
      <w:r w:rsidRPr="008562C2">
        <w:rPr>
          <w:rFonts w:ascii="Arial" w:eastAsia="Times New Roman" w:hAnsi="Arial" w:cs="Arial"/>
          <w:b/>
          <w:lang w:eastAsia="es-ES"/>
        </w:rPr>
        <w:t>LIC. CLAUDIA MURGUÍA TORRES</w:t>
      </w:r>
      <w:r w:rsidRPr="008562C2">
        <w:rPr>
          <w:rFonts w:ascii="Arial" w:eastAsia="Times New Roman" w:hAnsi="Arial" w:cs="Arial"/>
          <w:b/>
          <w:bCs/>
          <w:iCs/>
          <w:lang w:val="es-ES" w:eastAsia="es-ES"/>
        </w:rPr>
        <w:t xml:space="preserve"> </w:t>
      </w:r>
      <w:r>
        <w:rPr>
          <w:rFonts w:ascii="Arial" w:eastAsia="Times New Roman" w:hAnsi="Arial" w:cs="Arial"/>
          <w:b/>
          <w:bCs/>
          <w:iCs/>
          <w:lang w:val="es-ES" w:eastAsia="es-ES"/>
        </w:rPr>
        <w:t xml:space="preserve">               </w:t>
      </w:r>
      <w:r w:rsidRPr="008562C2">
        <w:rPr>
          <w:rFonts w:ascii="Arial" w:eastAsia="Times New Roman" w:hAnsi="Arial" w:cs="Arial"/>
          <w:b/>
          <w:bCs/>
          <w:iCs/>
          <w:lang w:val="es-ES" w:eastAsia="es-ES"/>
        </w:rPr>
        <w:t>MARTHA GRACIELA VILLANUEVA ZALAPA</w:t>
      </w:r>
    </w:p>
    <w:p w:rsidR="00A77C61" w:rsidRPr="00925328" w:rsidRDefault="00A77C61" w:rsidP="00A77C61">
      <w:pPr>
        <w:spacing w:after="0" w:line="240" w:lineRule="auto"/>
        <w:jc w:val="center"/>
        <w:rPr>
          <w:rFonts w:ascii="Arial" w:eastAsia="Times New Roman" w:hAnsi="Arial" w:cs="Arial"/>
          <w:lang w:eastAsia="es-ES"/>
        </w:rPr>
      </w:pPr>
      <w:r w:rsidRPr="00925328">
        <w:rPr>
          <w:rFonts w:ascii="Arial" w:eastAsia="Times New Roman" w:hAnsi="Arial" w:cs="Arial"/>
          <w:lang w:eastAsia="es-ES"/>
        </w:rPr>
        <w:t xml:space="preserve">Regidor Integrante          </w:t>
      </w:r>
      <w:r>
        <w:rPr>
          <w:rFonts w:ascii="Arial" w:eastAsia="Times New Roman" w:hAnsi="Arial" w:cs="Arial"/>
          <w:lang w:eastAsia="es-ES"/>
        </w:rPr>
        <w:t xml:space="preserve">                                 </w:t>
      </w:r>
      <w:r w:rsidRPr="00925328">
        <w:rPr>
          <w:rFonts w:ascii="Arial" w:eastAsia="Times New Roman" w:hAnsi="Arial" w:cs="Arial"/>
          <w:lang w:eastAsia="es-ES"/>
        </w:rPr>
        <w:t xml:space="preserve">   Regidor Integrante</w:t>
      </w:r>
    </w:p>
    <w:p w:rsidR="00A77C61" w:rsidRPr="00925328" w:rsidRDefault="00A77C61" w:rsidP="00A77C61">
      <w:pPr>
        <w:spacing w:after="0" w:line="240" w:lineRule="auto"/>
        <w:jc w:val="center"/>
        <w:rPr>
          <w:rFonts w:ascii="Arial" w:eastAsia="Times New Roman" w:hAnsi="Arial" w:cs="Arial"/>
          <w:lang w:eastAsia="es-ES"/>
        </w:rPr>
      </w:pPr>
    </w:p>
    <w:p w:rsidR="00A77C61" w:rsidRDefault="00A77C61" w:rsidP="00A77C61">
      <w:pPr>
        <w:spacing w:after="0" w:line="240" w:lineRule="auto"/>
        <w:jc w:val="both"/>
        <w:rPr>
          <w:rFonts w:ascii="Arial" w:eastAsia="Times New Roman" w:hAnsi="Arial" w:cs="Arial"/>
          <w:b/>
          <w:lang w:eastAsia="es-ES"/>
        </w:rPr>
      </w:pPr>
    </w:p>
    <w:p w:rsidR="00A77C61" w:rsidRPr="00925328" w:rsidRDefault="00A77C61" w:rsidP="00A77C61">
      <w:pPr>
        <w:spacing w:after="0" w:line="240" w:lineRule="auto"/>
        <w:jc w:val="both"/>
        <w:rPr>
          <w:rFonts w:ascii="Arial" w:eastAsia="Times New Roman" w:hAnsi="Arial" w:cs="Arial"/>
          <w:b/>
          <w:lang w:eastAsia="es-ES"/>
        </w:rPr>
      </w:pPr>
    </w:p>
    <w:p w:rsidR="00A77C61" w:rsidRPr="00925328" w:rsidRDefault="00A77C61" w:rsidP="00A77C61">
      <w:pPr>
        <w:spacing w:after="0" w:line="240" w:lineRule="auto"/>
        <w:jc w:val="both"/>
        <w:rPr>
          <w:rFonts w:ascii="Arial" w:eastAsia="Times New Roman" w:hAnsi="Arial" w:cs="Arial"/>
          <w:b/>
          <w:lang w:eastAsia="es-ES"/>
        </w:rPr>
      </w:pPr>
    </w:p>
    <w:p w:rsidR="00A77C61" w:rsidRPr="00925328" w:rsidRDefault="00A77C61" w:rsidP="00A77C61">
      <w:pPr>
        <w:spacing w:after="0" w:line="240" w:lineRule="auto"/>
        <w:jc w:val="both"/>
        <w:rPr>
          <w:rFonts w:ascii="Arial" w:eastAsia="Times New Roman" w:hAnsi="Arial" w:cs="Arial"/>
          <w:b/>
          <w:lang w:eastAsia="es-ES"/>
        </w:rPr>
      </w:pPr>
      <w:r w:rsidRPr="00925328">
        <w:rPr>
          <w:rFonts w:ascii="Arial" w:eastAsia="Times New Roman" w:hAnsi="Arial" w:cs="Arial"/>
          <w:b/>
          <w:bCs/>
          <w:iCs/>
          <w:lang w:val="es-ES" w:eastAsia="es-ES"/>
        </w:rPr>
        <w:t>ERNESTO DOMÍNGUEZ LÓPEZ                       LIC. ALBERTO ESQUER GUTIÉRREZ</w:t>
      </w:r>
    </w:p>
    <w:p w:rsidR="00A77C61" w:rsidRPr="00925328" w:rsidRDefault="00A77C61" w:rsidP="00A77C61">
      <w:pPr>
        <w:spacing w:after="0" w:line="240" w:lineRule="auto"/>
        <w:jc w:val="both"/>
        <w:rPr>
          <w:rFonts w:ascii="Arial" w:eastAsia="Times New Roman" w:hAnsi="Arial" w:cs="Arial"/>
          <w:lang w:eastAsia="es-ES"/>
        </w:rPr>
      </w:pPr>
      <w:r w:rsidRPr="00925328">
        <w:rPr>
          <w:rFonts w:ascii="Arial" w:eastAsia="Times New Roman" w:hAnsi="Arial" w:cs="Arial"/>
          <w:lang w:eastAsia="es-ES"/>
        </w:rPr>
        <w:t xml:space="preserve">     Regidor Integrante                                          </w:t>
      </w:r>
      <w:r>
        <w:rPr>
          <w:rFonts w:ascii="Arial" w:eastAsia="Times New Roman" w:hAnsi="Arial" w:cs="Arial"/>
          <w:lang w:eastAsia="es-ES"/>
        </w:rPr>
        <w:t xml:space="preserve">  </w:t>
      </w:r>
      <w:r w:rsidRPr="00925328">
        <w:rPr>
          <w:rFonts w:ascii="Arial" w:eastAsia="Times New Roman" w:hAnsi="Arial" w:cs="Arial"/>
          <w:lang w:eastAsia="es-ES"/>
        </w:rPr>
        <w:t xml:space="preserve">   Presidente Municipal y Regidor integrante</w:t>
      </w:r>
    </w:p>
    <w:p w:rsidR="00A77C61" w:rsidRPr="00925328" w:rsidRDefault="00A77C61" w:rsidP="00A77C61">
      <w:pPr>
        <w:spacing w:after="0" w:line="240" w:lineRule="auto"/>
        <w:jc w:val="both"/>
        <w:rPr>
          <w:rFonts w:ascii="Arial" w:eastAsia="Times New Roman" w:hAnsi="Arial" w:cs="Arial"/>
          <w:lang w:eastAsia="es-ES"/>
        </w:rPr>
      </w:pPr>
    </w:p>
    <w:p w:rsidR="00A77C61" w:rsidRDefault="00A77C61" w:rsidP="00A77C61">
      <w:pPr>
        <w:spacing w:after="0" w:line="240" w:lineRule="auto"/>
        <w:jc w:val="both"/>
        <w:rPr>
          <w:rFonts w:ascii="Arial" w:eastAsia="Times New Roman" w:hAnsi="Arial" w:cs="Arial"/>
          <w:sz w:val="20"/>
          <w:szCs w:val="24"/>
          <w:lang w:eastAsia="es-ES"/>
        </w:rPr>
      </w:pPr>
    </w:p>
    <w:p w:rsidR="00A77C61" w:rsidRDefault="00A77C61" w:rsidP="00A77C61">
      <w:pPr>
        <w:spacing w:after="0" w:line="240" w:lineRule="auto"/>
        <w:jc w:val="both"/>
        <w:rPr>
          <w:rFonts w:ascii="Arial" w:eastAsia="Times New Roman" w:hAnsi="Arial" w:cs="Arial"/>
          <w:sz w:val="20"/>
          <w:szCs w:val="24"/>
          <w:lang w:eastAsia="es-ES"/>
        </w:rPr>
      </w:pPr>
    </w:p>
    <w:p w:rsidR="00A77C61" w:rsidRDefault="00A77C61" w:rsidP="00A77C61">
      <w:pPr>
        <w:spacing w:after="0" w:line="240" w:lineRule="auto"/>
        <w:jc w:val="both"/>
        <w:rPr>
          <w:rFonts w:ascii="Arial" w:eastAsia="Times New Roman" w:hAnsi="Arial" w:cs="Arial"/>
          <w:sz w:val="20"/>
          <w:szCs w:val="24"/>
          <w:lang w:eastAsia="es-ES"/>
        </w:rPr>
      </w:pPr>
    </w:p>
    <w:p w:rsidR="00A77C61" w:rsidRPr="00C04F06" w:rsidRDefault="00A77C61" w:rsidP="00A77C61">
      <w:pPr>
        <w:spacing w:after="0" w:line="240" w:lineRule="auto"/>
        <w:jc w:val="both"/>
        <w:rPr>
          <w:rFonts w:ascii="Arial" w:eastAsia="Times New Roman" w:hAnsi="Arial" w:cs="Arial"/>
          <w:sz w:val="20"/>
          <w:szCs w:val="24"/>
          <w:lang w:eastAsia="es-ES"/>
        </w:rPr>
      </w:pPr>
    </w:p>
    <w:p w:rsidR="00A77C61" w:rsidRPr="00C04F06" w:rsidRDefault="00A77C61" w:rsidP="00A77C61">
      <w:pPr>
        <w:spacing w:after="0" w:line="240" w:lineRule="auto"/>
        <w:jc w:val="both"/>
        <w:rPr>
          <w:rFonts w:ascii="Arial" w:eastAsia="Times New Roman" w:hAnsi="Arial" w:cs="Arial"/>
          <w:b/>
          <w:sz w:val="18"/>
          <w:szCs w:val="24"/>
          <w:lang w:eastAsia="es-ES"/>
        </w:rPr>
      </w:pPr>
      <w:r w:rsidRPr="00C04F06">
        <w:rPr>
          <w:rFonts w:ascii="Arial" w:eastAsia="Times New Roman" w:hAnsi="Arial" w:cs="Arial"/>
          <w:b/>
          <w:sz w:val="18"/>
          <w:szCs w:val="24"/>
          <w:lang w:eastAsia="es-ES"/>
        </w:rPr>
        <w:t>JJGZ/</w:t>
      </w:r>
      <w:r w:rsidRPr="00C04F06">
        <w:rPr>
          <w:rFonts w:ascii="Informal Roman" w:eastAsia="Times New Roman" w:hAnsi="Informal Roman" w:cs="Arial"/>
          <w:b/>
          <w:sz w:val="18"/>
          <w:szCs w:val="24"/>
          <w:lang w:eastAsia="es-ES"/>
        </w:rPr>
        <w:t>CEGO</w:t>
      </w:r>
    </w:p>
    <w:p w:rsidR="00A77C61" w:rsidRPr="008562C2" w:rsidRDefault="00A77C61" w:rsidP="00A77C61">
      <w:pPr>
        <w:spacing w:after="0" w:line="240" w:lineRule="auto"/>
        <w:jc w:val="both"/>
        <w:rPr>
          <w:rFonts w:ascii="Arial" w:eastAsia="Times New Roman" w:hAnsi="Arial" w:cs="Arial"/>
          <w:szCs w:val="24"/>
          <w:lang w:eastAsia="es-ES"/>
        </w:rPr>
      </w:pPr>
      <w:r w:rsidRPr="008562C2">
        <w:rPr>
          <w:rFonts w:ascii="Arial" w:eastAsia="Times New Roman" w:hAnsi="Arial" w:cs="Arial"/>
          <w:sz w:val="18"/>
          <w:szCs w:val="24"/>
          <w:lang w:eastAsia="es-ES"/>
        </w:rPr>
        <w:t>C.c.p.- Archivo</w:t>
      </w:r>
    </w:p>
    <w:p w:rsidR="00A77C61" w:rsidRPr="00C04F06" w:rsidRDefault="00A77C61" w:rsidP="00A77C61">
      <w:pPr>
        <w:spacing w:after="200" w:line="276" w:lineRule="auto"/>
        <w:rPr>
          <w:rFonts w:ascii="Calibri" w:eastAsia="Calibri" w:hAnsi="Calibri" w:cs="Times New Roman"/>
          <w:sz w:val="20"/>
        </w:rPr>
      </w:pPr>
      <w:r w:rsidRPr="008562C2">
        <w:rPr>
          <w:rFonts w:ascii="Calibri" w:eastAsia="Calibri" w:hAnsi="Calibri" w:cs="Times New Roman"/>
          <w:sz w:val="20"/>
        </w:rPr>
        <w:t xml:space="preserve">C.c.p.- Lic. </w:t>
      </w:r>
      <w:r w:rsidRPr="00C04F06">
        <w:rPr>
          <w:rFonts w:ascii="Calibri" w:eastAsia="Calibri" w:hAnsi="Calibri" w:cs="Times New Roman"/>
          <w:sz w:val="20"/>
        </w:rPr>
        <w:t>Oscar Romero Velasco. Titular de unidad de UTIM.</w:t>
      </w:r>
    </w:p>
    <w:p w:rsidR="00A77C61" w:rsidRPr="00C04F06" w:rsidRDefault="00A77C61" w:rsidP="00A77C61">
      <w:pPr>
        <w:spacing w:after="200" w:line="276" w:lineRule="auto"/>
        <w:rPr>
          <w:rFonts w:ascii="Calibri" w:eastAsia="Calibri" w:hAnsi="Calibri" w:cs="Times New Roman"/>
        </w:rPr>
      </w:pPr>
    </w:p>
    <w:p w:rsidR="00A77C61" w:rsidRDefault="00A77C61" w:rsidP="00A77C61"/>
    <w:p w:rsidR="00F86034" w:rsidRDefault="001C1CDC"/>
    <w:sectPr w:rsidR="00F86034" w:rsidSect="005F23D5">
      <w:headerReference w:type="even" r:id="rId18"/>
      <w:headerReference w:type="default" r:id="rId19"/>
      <w:footerReference w:type="even" r:id="rId20"/>
      <w:footerReference w:type="default" r:id="rId21"/>
      <w:headerReference w:type="first" r:id="rId22"/>
      <w:footerReference w:type="first" r:id="rId23"/>
      <w:pgSz w:w="12240" w:h="15840" w:code="1"/>
      <w:pgMar w:top="3119"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CDC" w:rsidRDefault="001C1CDC" w:rsidP="00A77C61">
      <w:pPr>
        <w:spacing w:after="0" w:line="240" w:lineRule="auto"/>
      </w:pPr>
      <w:r>
        <w:separator/>
      </w:r>
    </w:p>
  </w:endnote>
  <w:endnote w:type="continuationSeparator" w:id="0">
    <w:p w:rsidR="001C1CDC" w:rsidRDefault="001C1CDC" w:rsidP="00A77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C61" w:rsidRDefault="00A77C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C61" w:rsidRDefault="00A77C6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C61" w:rsidRDefault="00A77C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CDC" w:rsidRDefault="001C1CDC" w:rsidP="00A77C61">
      <w:pPr>
        <w:spacing w:after="0" w:line="240" w:lineRule="auto"/>
      </w:pPr>
      <w:r>
        <w:separator/>
      </w:r>
    </w:p>
  </w:footnote>
  <w:footnote w:type="continuationSeparator" w:id="0">
    <w:p w:rsidR="001C1CDC" w:rsidRDefault="001C1CDC" w:rsidP="00A77C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C61" w:rsidRDefault="00A77C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07581"/>
      <w:docPartObj>
        <w:docPartGallery w:val="Page Numbers (Top of Page)"/>
        <w:docPartUnique/>
      </w:docPartObj>
    </w:sdtPr>
    <w:sdtEndPr/>
    <w:sdtContent>
      <w:p w:rsidR="00962155" w:rsidRDefault="001C1CDC">
        <w:pPr>
          <w:pStyle w:val="Encabezado"/>
          <w:jc w:val="center"/>
        </w:pPr>
        <w:r>
          <w:fldChar w:fldCharType="begin"/>
        </w:r>
        <w:r>
          <w:instrText>PAGE   \* MERGEFORMAT</w:instrText>
        </w:r>
        <w:r>
          <w:fldChar w:fldCharType="separate"/>
        </w:r>
        <w:r>
          <w:rPr>
            <w:noProof/>
          </w:rPr>
          <w:t>1</w:t>
        </w:r>
        <w:r>
          <w:fldChar w:fldCharType="end"/>
        </w:r>
      </w:p>
    </w:sdtContent>
  </w:sdt>
  <w:p w:rsidR="00A13E40" w:rsidRPr="00A77C61" w:rsidRDefault="00A77C61" w:rsidP="00A77C61">
    <w:pPr>
      <w:pStyle w:val="Encabezado"/>
      <w:jc w:val="center"/>
      <w:rPr>
        <w:sz w:val="28"/>
      </w:rPr>
    </w:pPr>
    <w:r w:rsidRPr="00A77C61">
      <w:rPr>
        <w:sz w:val="28"/>
      </w:rPr>
      <w:t>VERSIÓN E</w:t>
    </w:r>
    <w:bookmarkStart w:id="0" w:name="_GoBack"/>
    <w:bookmarkEnd w:id="0"/>
    <w:r w:rsidRPr="00A77C61">
      <w:rPr>
        <w:sz w:val="28"/>
      </w:rPr>
      <w:t>STENOGRÁFICA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C61" w:rsidRDefault="00A77C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CF50FE"/>
    <w:multiLevelType w:val="hybridMultilevel"/>
    <w:tmpl w:val="A6DCC0BA"/>
    <w:lvl w:ilvl="0" w:tplc="06ECE598">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48400432"/>
    <w:multiLevelType w:val="hybridMultilevel"/>
    <w:tmpl w:val="642677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62C5071"/>
    <w:multiLevelType w:val="hybridMultilevel"/>
    <w:tmpl w:val="E654B4C4"/>
    <w:lvl w:ilvl="0" w:tplc="080A0005">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C61"/>
    <w:rsid w:val="0017772D"/>
    <w:rsid w:val="001C1CDC"/>
    <w:rsid w:val="003B20A7"/>
    <w:rsid w:val="00A77C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D50F2D59-8846-44B5-93C1-8CD8C007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C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7C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7C61"/>
  </w:style>
  <w:style w:type="paragraph" w:styleId="Piedepgina">
    <w:name w:val="footer"/>
    <w:basedOn w:val="Normal"/>
    <w:link w:val="PiedepginaCar"/>
    <w:uiPriority w:val="99"/>
    <w:unhideWhenUsed/>
    <w:rsid w:val="00A77C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7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4616</Words>
  <Characters>25391</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2018-02-24T17:44:00Z</dcterms:created>
  <dcterms:modified xsi:type="dcterms:W3CDTF">2018-02-24T17:51:00Z</dcterms:modified>
</cp:coreProperties>
</file>