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0" w:rsidRDefault="00C27440" w:rsidP="00C27440">
      <w:pPr>
        <w:spacing w:line="276" w:lineRule="auto"/>
        <w:rPr>
          <w:rFonts w:ascii="Verdana" w:hAnsi="Verdana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4B7F2A" w:rsidP="00C274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C27440" w:rsidRDefault="00D76C3E" w:rsidP="00C27440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Se somete a votación por </w:t>
      </w:r>
      <w:r w:rsidRPr="00C27440">
        <w:rPr>
          <w:rFonts w:ascii="Arial" w:hAnsi="Arial" w:cs="Arial"/>
          <w:b/>
          <w:szCs w:val="28"/>
        </w:rPr>
        <w:t>la Comisión Edilicia</w:t>
      </w:r>
      <w:r>
        <w:rPr>
          <w:rFonts w:ascii="Arial" w:hAnsi="Arial" w:cs="Arial"/>
          <w:b/>
          <w:szCs w:val="28"/>
        </w:rPr>
        <w:t xml:space="preserve"> de participación Ciudadana y Vecinal</w:t>
      </w:r>
      <w:r>
        <w:rPr>
          <w:rFonts w:ascii="Arial" w:hAnsi="Arial" w:cs="Arial"/>
          <w:b/>
          <w:szCs w:val="28"/>
        </w:rPr>
        <w:t xml:space="preserve"> EL LISTADO DE LOS ASPIRANTES AL CONSEJO MUNICIPAL DE PARTCICIPACIÓN CIUDADANA, QUE CUMPLIERON LOS REQUISITOS ESTABLECIDOS EN LA CONVOCATORIA, </w:t>
      </w:r>
      <w:r w:rsidR="00C42D17">
        <w:rPr>
          <w:rFonts w:ascii="Arial" w:hAnsi="Arial" w:cs="Arial"/>
          <w:b/>
          <w:szCs w:val="28"/>
        </w:rPr>
        <w:t>mediante Sesión Extraordinaria</w:t>
      </w:r>
      <w:r w:rsidR="00C27440" w:rsidRPr="00C27440">
        <w:rPr>
          <w:rFonts w:ascii="Arial" w:hAnsi="Arial" w:cs="Arial"/>
          <w:b/>
          <w:szCs w:val="28"/>
        </w:rPr>
        <w:t xml:space="preserve"> </w:t>
      </w:r>
      <w:r w:rsidR="00D502D8">
        <w:rPr>
          <w:rFonts w:ascii="Arial" w:hAnsi="Arial" w:cs="Arial"/>
          <w:b/>
          <w:szCs w:val="28"/>
        </w:rPr>
        <w:t xml:space="preserve">número </w:t>
      </w:r>
      <w:r>
        <w:rPr>
          <w:rFonts w:ascii="Arial" w:hAnsi="Arial" w:cs="Arial"/>
          <w:b/>
          <w:szCs w:val="28"/>
        </w:rPr>
        <w:t>3</w:t>
      </w:r>
      <w:r w:rsidR="00D502D8">
        <w:rPr>
          <w:rFonts w:ascii="Arial" w:hAnsi="Arial" w:cs="Arial"/>
          <w:b/>
          <w:szCs w:val="28"/>
        </w:rPr>
        <w:t>, de fecha</w:t>
      </w:r>
      <w:r w:rsidR="00730085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lunes</w:t>
      </w:r>
      <w:r w:rsidR="00730085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25 de julio del 2023 a las 11:00 horas.</w:t>
      </w:r>
      <w:r w:rsidR="00D502D8">
        <w:rPr>
          <w:rFonts w:ascii="Arial" w:hAnsi="Arial" w:cs="Arial"/>
          <w:b/>
          <w:szCs w:val="28"/>
        </w:rPr>
        <w:t xml:space="preserve"> </w:t>
      </w:r>
    </w:p>
    <w:p w:rsidR="00D76C3E" w:rsidRDefault="00D76C3E" w:rsidP="00C27440">
      <w:pPr>
        <w:jc w:val="both"/>
        <w:rPr>
          <w:rFonts w:ascii="Arial" w:hAnsi="Arial" w:cs="Arial"/>
          <w:b/>
          <w:szCs w:val="28"/>
        </w:rPr>
      </w:pPr>
    </w:p>
    <w:p w:rsidR="00D76C3E" w:rsidRDefault="00D76C3E" w:rsidP="00C27440">
      <w:pPr>
        <w:jc w:val="both"/>
        <w:rPr>
          <w:rFonts w:ascii="Arial" w:hAnsi="Arial" w:cs="Arial"/>
          <w:b/>
          <w:szCs w:val="28"/>
        </w:rPr>
      </w:pPr>
    </w:p>
    <w:p w:rsidR="00D502D8" w:rsidRPr="00ED3929" w:rsidRDefault="00D502D8" w:rsidP="00C27440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81"/>
        <w:gridCol w:w="1332"/>
        <w:gridCol w:w="1488"/>
        <w:gridCol w:w="2244"/>
      </w:tblGrid>
      <w:tr w:rsidR="00C27440" w:rsidRPr="00CF7FCA" w:rsidTr="00960621"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C27440" w:rsidRPr="00CF7FCA" w:rsidTr="00960621">
        <w:trPr>
          <w:trHeight w:val="685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D502D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Default="00D502D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Ernesto Sánchez Sánchez.</w:t>
            </w:r>
          </w:p>
          <w:p w:rsidR="00D502D8" w:rsidRPr="00ED3929" w:rsidRDefault="00D502D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53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261A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Eva María de Jesús Barreto.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261A40" w:rsidP="00D502D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Raúl Chávez García.</w:t>
            </w:r>
          </w:p>
        </w:tc>
        <w:tc>
          <w:tcPr>
            <w:tcW w:w="136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D76C3E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C27440" w:rsidRPr="00ED3929" w:rsidRDefault="00D76C3E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2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C27440" w:rsidRDefault="00C27440" w:rsidP="00C27440">
      <w:pPr>
        <w:jc w:val="center"/>
        <w:rPr>
          <w:rFonts w:ascii="Verdana" w:hAnsi="Verdana" w:cs="Arial"/>
          <w:b/>
          <w:sz w:val="28"/>
          <w:szCs w:val="28"/>
        </w:rPr>
      </w:pPr>
    </w:p>
    <w:p w:rsidR="00C27440" w:rsidRDefault="00C27440" w:rsidP="00C27440">
      <w:pPr>
        <w:jc w:val="center"/>
        <w:rPr>
          <w:rFonts w:ascii="Arial" w:hAnsi="Arial" w:cs="Arial"/>
          <w:b/>
          <w:sz w:val="28"/>
          <w:szCs w:val="28"/>
        </w:rPr>
      </w:pPr>
    </w:p>
    <w:p w:rsidR="00D76C3E" w:rsidRDefault="00D76C3E" w:rsidP="00C27440">
      <w:pPr>
        <w:jc w:val="center"/>
        <w:rPr>
          <w:rFonts w:ascii="Arial" w:hAnsi="Arial" w:cs="Arial"/>
          <w:b/>
          <w:sz w:val="28"/>
          <w:szCs w:val="28"/>
        </w:rPr>
      </w:pPr>
    </w:p>
    <w:p w:rsidR="00D76C3E" w:rsidRPr="00C27440" w:rsidRDefault="00D76C3E" w:rsidP="00C2744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24B7C" w:rsidRDefault="00D76C3E" w:rsidP="00D76C3E">
      <w:pPr>
        <w:jc w:val="center"/>
      </w:pPr>
      <w:r>
        <w:rPr>
          <w:rFonts w:ascii="Arial" w:hAnsi="Arial" w:cs="Arial"/>
          <w:b/>
          <w:szCs w:val="28"/>
        </w:rPr>
        <w:t>2</w:t>
      </w:r>
      <w:r w:rsidR="00C27440" w:rsidRPr="00C27440">
        <w:rPr>
          <w:rFonts w:ascii="Arial" w:hAnsi="Arial" w:cs="Arial"/>
          <w:b/>
          <w:szCs w:val="28"/>
        </w:rPr>
        <w:t xml:space="preserve"> VOTOS A FAVOR </w:t>
      </w:r>
      <w:r>
        <w:rPr>
          <w:rFonts w:ascii="Arial" w:hAnsi="Arial" w:cs="Arial"/>
          <w:b/>
          <w:szCs w:val="28"/>
        </w:rPr>
        <w:t>EL LISTADO DE LOS ASPIRANTES AL CONSEJO MUNICIPAL DE PARTCICIPACIÓN CIUDADANA, QUE CUMPLIERON LOS REQUISITOS ESTABLECIDOS EN LA CONVOCATORIA</w:t>
      </w:r>
      <w:r>
        <w:rPr>
          <w:rFonts w:ascii="Arial" w:hAnsi="Arial" w:cs="Arial"/>
          <w:b/>
          <w:szCs w:val="28"/>
        </w:rPr>
        <w:t>.</w:t>
      </w:r>
    </w:p>
    <w:sectPr w:rsidR="00D24B7C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2A" w:rsidRDefault="004B7F2A">
      <w:r>
        <w:separator/>
      </w:r>
    </w:p>
  </w:endnote>
  <w:endnote w:type="continuationSeparator" w:id="0">
    <w:p w:rsidR="004B7F2A" w:rsidRDefault="004B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3E" w:rsidRPr="00D76C3E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4B7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2A" w:rsidRDefault="004B7F2A">
      <w:r>
        <w:separator/>
      </w:r>
    </w:p>
  </w:footnote>
  <w:footnote w:type="continuationSeparator" w:id="0">
    <w:p w:rsidR="004B7F2A" w:rsidRDefault="004B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8B" w:rsidRDefault="004B7F2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F67ED"/>
    <w:rsid w:val="00171638"/>
    <w:rsid w:val="00261A40"/>
    <w:rsid w:val="0047713C"/>
    <w:rsid w:val="004B7F2A"/>
    <w:rsid w:val="00567321"/>
    <w:rsid w:val="005745CF"/>
    <w:rsid w:val="005F3F5C"/>
    <w:rsid w:val="00666496"/>
    <w:rsid w:val="00677626"/>
    <w:rsid w:val="00730085"/>
    <w:rsid w:val="00A574B0"/>
    <w:rsid w:val="00B00704"/>
    <w:rsid w:val="00C27440"/>
    <w:rsid w:val="00C42D17"/>
    <w:rsid w:val="00D502D8"/>
    <w:rsid w:val="00D76C3E"/>
    <w:rsid w:val="00DD2EEE"/>
    <w:rsid w:val="00E26881"/>
    <w:rsid w:val="00F62166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207F3A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C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2023-12-12T20:38:00Z</cp:lastPrinted>
  <dcterms:created xsi:type="dcterms:W3CDTF">2023-12-12T20:39:00Z</dcterms:created>
  <dcterms:modified xsi:type="dcterms:W3CDTF">2023-12-12T20:39:00Z</dcterms:modified>
</cp:coreProperties>
</file>