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Pr="00C518F2" w:rsidRDefault="00C27440" w:rsidP="00C27440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C27440" w:rsidRPr="00C518F2" w:rsidRDefault="00C27440" w:rsidP="00C27440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DE SESIÓN ORDINARIA DE </w:t>
      </w:r>
      <w:r>
        <w:rPr>
          <w:rFonts w:ascii="Arial" w:hAnsi="Arial" w:cs="Arial"/>
          <w:b/>
          <w:lang w:val="es-ES"/>
        </w:rPr>
        <w:t>NÚMERO 2</w:t>
      </w: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>DE LA COMISIÓN EDILICIA PERMANENTE DE LIMPIA, AREAS VERDES, MEDIO AMBIENTE Y ECOLOGÍA 2021-2024.</w:t>
      </w:r>
    </w:p>
    <w:p w:rsidR="00C27440" w:rsidRPr="00C518F2" w:rsidRDefault="00C27440" w:rsidP="00C27440">
      <w:pPr>
        <w:spacing w:line="276" w:lineRule="auto"/>
        <w:jc w:val="both"/>
        <w:rPr>
          <w:rFonts w:ascii="Arial" w:hAnsi="Arial" w:cs="Arial"/>
          <w:lang w:val="es-ES"/>
        </w:rPr>
      </w:pP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  <w:r w:rsidRPr="00C518F2">
        <w:rPr>
          <w:rFonts w:ascii="Arial" w:hAnsi="Arial" w:cs="Arial"/>
          <w:lang w:val="es-ES"/>
        </w:rPr>
        <w:t>En Ciudad Guzmán Municipio de Zapotlán el Grande, Jalisco, siendo las 11:</w:t>
      </w:r>
      <w:r>
        <w:rPr>
          <w:rFonts w:ascii="Arial" w:hAnsi="Arial" w:cs="Arial"/>
          <w:lang w:val="es-ES"/>
        </w:rPr>
        <w:t>02</w:t>
      </w:r>
      <w:r w:rsidRPr="00C518F2">
        <w:rPr>
          <w:rFonts w:ascii="Arial" w:hAnsi="Arial" w:cs="Arial"/>
          <w:lang w:val="es-ES"/>
        </w:rPr>
        <w:t xml:space="preserve"> once horas con </w:t>
      </w:r>
      <w:r>
        <w:rPr>
          <w:rFonts w:ascii="Arial" w:hAnsi="Arial" w:cs="Arial"/>
          <w:lang w:val="es-ES"/>
        </w:rPr>
        <w:t>dos</w:t>
      </w:r>
      <w:r w:rsidRPr="00C518F2">
        <w:rPr>
          <w:rFonts w:ascii="Arial" w:hAnsi="Arial" w:cs="Arial"/>
          <w:lang w:val="es-ES"/>
        </w:rPr>
        <w:t xml:space="preserve"> minu</w:t>
      </w:r>
      <w:r>
        <w:rPr>
          <w:rFonts w:ascii="Arial" w:hAnsi="Arial" w:cs="Arial"/>
          <w:lang w:val="es-ES"/>
        </w:rPr>
        <w:t>tos del día 15 quince de diciembre</w:t>
      </w:r>
      <w:r w:rsidRPr="00C518F2">
        <w:rPr>
          <w:rFonts w:ascii="Arial" w:hAnsi="Arial" w:cs="Arial"/>
          <w:lang w:val="es-ES"/>
        </w:rPr>
        <w:t xml:space="preserve"> del año 2021 dos mil veintiuno, estando presentes </w:t>
      </w:r>
      <w:r w:rsidRPr="00C518F2">
        <w:rPr>
          <w:rFonts w:ascii="Arial" w:eastAsia="Arial Unicode MS" w:hAnsi="Arial" w:cs="Arial"/>
        </w:rPr>
        <w:t xml:space="preserve">en las instalaciones que ocupa la sala ubicada en </w:t>
      </w:r>
      <w:r>
        <w:rPr>
          <w:rFonts w:ascii="Arial" w:eastAsia="Arial Unicode MS" w:hAnsi="Arial" w:cs="Arial"/>
        </w:rPr>
        <w:t xml:space="preserve">la Sala María Elena Larios </w:t>
      </w:r>
      <w:r w:rsidRPr="00C518F2">
        <w:rPr>
          <w:rFonts w:ascii="Arial" w:eastAsia="Arial Unicode MS" w:hAnsi="Arial" w:cs="Arial"/>
        </w:rPr>
        <w:t xml:space="preserve">ubicada en la planta baja de la Presidencia Municipal de esta Ciudad, los integrantes de la Comisión Edilicia Permanente de Limpia, Áreas Verdes, Medio Ambiente  y Ecología integrado por: C. SARA MORENO RAMÍREZ,  LIC. FRANCISCO IGNACIO CARRILLO GÓMEZ y TAE. MÓNICA REYNOSO ROMERO en sus calidades de presidenta y vocales de la comisión respectivamente y en virtud de que previamente fuimos convocados el día 13 trece de </w:t>
      </w:r>
      <w:r>
        <w:rPr>
          <w:rFonts w:ascii="Arial" w:eastAsia="Arial Unicode MS" w:hAnsi="Arial" w:cs="Arial"/>
        </w:rPr>
        <w:t>diciembre</w:t>
      </w:r>
      <w:r w:rsidRPr="00C518F2">
        <w:rPr>
          <w:rFonts w:ascii="Arial" w:eastAsia="Arial Unicode MS" w:hAnsi="Arial" w:cs="Arial"/>
        </w:rPr>
        <w:t xml:space="preserve"> del 2021 dos mil veintiuno, para </w:t>
      </w:r>
      <w:r>
        <w:rPr>
          <w:rFonts w:ascii="Arial" w:eastAsia="Arial Unicode MS" w:hAnsi="Arial" w:cs="Arial"/>
        </w:rPr>
        <w:t xml:space="preserve">desahogar la sesión ordinaria número 2 de la comisión Edilicia </w:t>
      </w:r>
      <w:r w:rsidRPr="00C27440">
        <w:rPr>
          <w:rFonts w:ascii="Arial" w:eastAsia="Arial Unicode MS" w:hAnsi="Arial" w:cs="Arial"/>
        </w:rPr>
        <w:t>de Limpia, Áreas Verdes, Medio Ambiente y Ecología, para sesionar en cumplimiento del requisito estipulado en el artículo 48.1 del Reglamento Interior del Ayuntamiento de Zapotlán el Grande, para analizar temas correspondientes a esta comisión</w:t>
      </w:r>
      <w:r w:rsidRPr="00C27440">
        <w:rPr>
          <w:rFonts w:ascii="Arial" w:hAnsi="Arial" w:cs="Arial"/>
          <w:lang w:val="es-ES"/>
        </w:rPr>
        <w:t xml:space="preserve"> de conformidad a lo establecido en los artículos 115 Constitucional, 27 de la Ley de Gobierno y la Administración Pública Municipal, 37, 38 fracciones XII, así como de los numerales 40 al 48, 70 y demás relativos y aplicables del Reglamento Interior del Ayuntamiento de Zapotlán el Grande, </w:t>
      </w:r>
      <w:r w:rsidRPr="00C27440">
        <w:rPr>
          <w:rFonts w:ascii="Arial" w:eastAsia="Arial Unicode MS" w:hAnsi="Arial" w:cs="Arial"/>
        </w:rPr>
        <w:t>por lo que una vez corroborado que existe quórum Legal, se procedió al desahogo de la misma bajo los siguientes puntos del orden del día: -----------------------------------------------------------------------</w:t>
      </w: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C518F2">
        <w:rPr>
          <w:rFonts w:ascii="Arial" w:eastAsia="Arial Unicode MS" w:hAnsi="Arial" w:cs="Arial"/>
          <w:b/>
          <w:lang w:val="es-ES"/>
        </w:rPr>
        <w:t>ORDEN DEL DÍA</w:t>
      </w:r>
    </w:p>
    <w:p w:rsidR="00C27440" w:rsidRPr="00C518F2" w:rsidRDefault="00C27440" w:rsidP="00C27440">
      <w:pPr>
        <w:pStyle w:val="Sinespaciado"/>
        <w:ind w:left="360"/>
        <w:rPr>
          <w:rFonts w:cs="Arial"/>
          <w:sz w:val="24"/>
          <w:szCs w:val="24"/>
          <w:lang w:val="es-MX"/>
        </w:rPr>
      </w:pP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C518F2">
        <w:rPr>
          <w:rFonts w:cs="Arial"/>
          <w:sz w:val="24"/>
          <w:szCs w:val="24"/>
          <w:lang w:val="es-MX"/>
        </w:rPr>
        <w:t>Lista de Asistencia y declaración del Quorum Legal.--------------------------------</w:t>
      </w: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Revisión y Aprobación del Plan de Trabajo de la</w:t>
      </w:r>
      <w:r w:rsidRPr="00C518F2">
        <w:rPr>
          <w:rFonts w:cs="Arial"/>
          <w:sz w:val="24"/>
          <w:szCs w:val="24"/>
          <w:lang w:val="es-MX"/>
        </w:rPr>
        <w:t xml:space="preserve"> Comisión </w:t>
      </w:r>
      <w:r>
        <w:rPr>
          <w:rFonts w:cs="Arial"/>
          <w:sz w:val="24"/>
          <w:szCs w:val="24"/>
          <w:lang w:val="es-MX"/>
        </w:rPr>
        <w:t xml:space="preserve">Edilicia </w:t>
      </w:r>
      <w:r w:rsidRPr="00C518F2">
        <w:rPr>
          <w:rFonts w:cs="Arial"/>
          <w:sz w:val="24"/>
          <w:szCs w:val="24"/>
          <w:lang w:val="es-MX"/>
        </w:rPr>
        <w:t>Permanente de Limpia, Áreas Verdes, Medio A</w:t>
      </w:r>
      <w:r>
        <w:rPr>
          <w:rFonts w:cs="Arial"/>
          <w:sz w:val="24"/>
          <w:szCs w:val="24"/>
          <w:lang w:val="es-MX"/>
        </w:rPr>
        <w:t>mbiente y Ecología. -----------</w:t>
      </w: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</w:rPr>
      </w:pPr>
      <w:r w:rsidRPr="00C518F2">
        <w:rPr>
          <w:rFonts w:cs="Arial"/>
          <w:sz w:val="24"/>
          <w:szCs w:val="24"/>
          <w:lang w:val="es-MX"/>
        </w:rPr>
        <w:t>Asuntos</w:t>
      </w:r>
      <w:r w:rsidRPr="00C518F2">
        <w:rPr>
          <w:rFonts w:cs="Arial"/>
          <w:sz w:val="24"/>
          <w:szCs w:val="24"/>
        </w:rPr>
        <w:t xml:space="preserve"> </w:t>
      </w:r>
      <w:proofErr w:type="spellStart"/>
      <w:r w:rsidRPr="00C518F2">
        <w:rPr>
          <w:rFonts w:cs="Arial"/>
          <w:sz w:val="24"/>
          <w:szCs w:val="24"/>
        </w:rPr>
        <w:t>varios</w:t>
      </w:r>
      <w:proofErr w:type="spellEnd"/>
      <w:r w:rsidRPr="00C518F2">
        <w:rPr>
          <w:rFonts w:cs="Arial"/>
          <w:sz w:val="24"/>
          <w:szCs w:val="24"/>
        </w:rPr>
        <w:t>. --------------------------------------------------------------------------------</w:t>
      </w:r>
    </w:p>
    <w:p w:rsidR="00C27440" w:rsidRPr="00C518F2" w:rsidRDefault="00C27440" w:rsidP="00C2744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Clausura. ---------------------------------------------------------------------------------------</w:t>
      </w:r>
    </w:p>
    <w:p w:rsidR="00C27440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D80F98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DESAHOGO DEL ORDEN DEL DIA:</w:t>
      </w: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:rsidR="000F67ED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>PRIMER PUNTO.- Lista de Asistencia y declaración del quórum legal</w:t>
      </w:r>
      <w:r w:rsidRPr="00C518F2">
        <w:rPr>
          <w:rFonts w:ascii="Arial" w:eastAsia="Arial Unicode MS" w:hAnsi="Arial" w:cs="Arial"/>
        </w:rPr>
        <w:t>, la regidora presidenta de la Comisión Edilicia de Limpia, Áreas Verdes, Medio Ambiente y Ecología, da la bienvenida y procediendo a la lectura del orden del día</w:t>
      </w:r>
    </w:p>
    <w:p w:rsidR="000F67ED" w:rsidRDefault="000F67E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0F67ED" w:rsidRDefault="000F67ED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C518F2" w:rsidRDefault="000F67ED" w:rsidP="00C27440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p</w:t>
      </w:r>
      <w:r w:rsidR="00C27440" w:rsidRPr="00C518F2">
        <w:rPr>
          <w:rFonts w:ascii="Arial" w:eastAsia="Arial Unicode MS" w:hAnsi="Arial" w:cs="Arial"/>
        </w:rPr>
        <w:t>revisto</w:t>
      </w:r>
      <w:proofErr w:type="gramEnd"/>
      <w:r w:rsidR="00C27440" w:rsidRPr="00C518F2">
        <w:rPr>
          <w:rFonts w:ascii="Arial" w:eastAsia="Arial Unicode MS" w:hAnsi="Arial" w:cs="Arial"/>
        </w:rPr>
        <w:t xml:space="preserve"> en la convocatoria, realizando el pase de lista de asistencia, </w:t>
      </w:r>
      <w:r w:rsidR="00C27440">
        <w:rPr>
          <w:rFonts w:ascii="Arial" w:eastAsia="Arial Unicode MS" w:hAnsi="Arial" w:cs="Arial"/>
        </w:rPr>
        <w:t xml:space="preserve"> </w:t>
      </w:r>
      <w:r w:rsidR="00C27440" w:rsidRPr="00C518F2">
        <w:rPr>
          <w:rFonts w:ascii="Arial" w:eastAsia="Arial Unicode MS" w:hAnsi="Arial" w:cs="Arial"/>
        </w:rPr>
        <w:t>por lo que se tiene por presente a</w:t>
      </w:r>
      <w:r w:rsidR="00C27440">
        <w:rPr>
          <w:rFonts w:ascii="Arial" w:eastAsia="Arial Unicode MS" w:hAnsi="Arial" w:cs="Arial"/>
        </w:rPr>
        <w:t xml:space="preserve"> </w:t>
      </w:r>
      <w:r w:rsidR="00C27440" w:rsidRPr="00C518F2">
        <w:rPr>
          <w:rFonts w:ascii="Arial" w:eastAsia="Arial Unicode MS" w:hAnsi="Arial" w:cs="Arial"/>
        </w:rPr>
        <w:t>l</w:t>
      </w:r>
      <w:r w:rsidR="00C27440">
        <w:rPr>
          <w:rFonts w:ascii="Arial" w:eastAsia="Arial Unicode MS" w:hAnsi="Arial" w:cs="Arial"/>
        </w:rPr>
        <w:t>a</w:t>
      </w:r>
      <w:r w:rsidR="00C27440" w:rsidRPr="00C518F2">
        <w:rPr>
          <w:rFonts w:ascii="Arial" w:eastAsia="Arial Unicode MS" w:hAnsi="Arial" w:cs="Arial"/>
        </w:rPr>
        <w:t xml:space="preserve"> regidor</w:t>
      </w:r>
      <w:r w:rsidR="00C27440">
        <w:rPr>
          <w:rFonts w:ascii="Arial" w:eastAsia="Arial Unicode MS" w:hAnsi="Arial" w:cs="Arial"/>
        </w:rPr>
        <w:t>a SARA MORENO, RAMÍRE</w:t>
      </w:r>
      <w:r w:rsidR="00C27440">
        <w:rPr>
          <w:rFonts w:ascii="Arial" w:eastAsia="Arial Unicode MS" w:hAnsi="Arial" w:cs="Arial"/>
        </w:rPr>
        <w:t>Z</w:t>
      </w:r>
      <w:r w:rsidR="00C27440">
        <w:rPr>
          <w:rFonts w:ascii="Arial" w:eastAsia="Arial Unicode MS" w:hAnsi="Arial" w:cs="Arial"/>
        </w:rPr>
        <w:t xml:space="preserve"> y regidor</w:t>
      </w:r>
      <w:r w:rsidR="00C27440" w:rsidRPr="00C518F2">
        <w:rPr>
          <w:rFonts w:ascii="Arial" w:eastAsia="Arial Unicode MS" w:hAnsi="Arial" w:cs="Arial"/>
        </w:rPr>
        <w:t xml:space="preserve"> FRANCISCO IGNACIO CARRILLO GÓMEZ</w:t>
      </w:r>
      <w:r w:rsidR="00C27440">
        <w:rPr>
          <w:rFonts w:ascii="Arial" w:eastAsia="Arial Unicode MS" w:hAnsi="Arial" w:cs="Arial"/>
        </w:rPr>
        <w:t xml:space="preserve">, respecto a la Regidora </w:t>
      </w:r>
      <w:r w:rsidR="00C27440" w:rsidRPr="00C518F2">
        <w:rPr>
          <w:rFonts w:ascii="Arial" w:eastAsia="Arial Unicode MS" w:hAnsi="Arial" w:cs="Arial"/>
        </w:rPr>
        <w:t>MÓNICA REYNOSO ROMERO</w:t>
      </w:r>
      <w:r w:rsidR="00C27440">
        <w:rPr>
          <w:rFonts w:ascii="Arial" w:eastAsia="Arial Unicode MS" w:hAnsi="Arial" w:cs="Arial"/>
        </w:rPr>
        <w:t xml:space="preserve"> existe oficio número 326/2021</w:t>
      </w:r>
      <w:r w:rsidR="00C27440" w:rsidRPr="00C518F2">
        <w:rPr>
          <w:rFonts w:ascii="Arial" w:eastAsia="Arial Unicode MS" w:hAnsi="Arial" w:cs="Arial"/>
        </w:rPr>
        <w:t xml:space="preserve"> </w:t>
      </w:r>
      <w:r w:rsidR="00C27440">
        <w:rPr>
          <w:rFonts w:ascii="Arial" w:eastAsia="Arial Unicode MS" w:hAnsi="Arial" w:cs="Arial"/>
        </w:rPr>
        <w:t>en el cual solicita justificación de inasistencia</w:t>
      </w:r>
      <w:r w:rsidR="00C27440" w:rsidRPr="00C518F2">
        <w:rPr>
          <w:rFonts w:ascii="Arial" w:eastAsia="Arial Unicode MS" w:hAnsi="Arial" w:cs="Arial"/>
        </w:rPr>
        <w:t>,</w:t>
      </w:r>
      <w:r w:rsidR="00C27440">
        <w:rPr>
          <w:rFonts w:ascii="Arial" w:eastAsia="Arial Unicode MS" w:hAnsi="Arial" w:cs="Arial"/>
        </w:rPr>
        <w:t xml:space="preserve"> existiendo la presencia de la mayoría de los integrantes de la comisión </w:t>
      </w:r>
      <w:r w:rsidR="00C27440" w:rsidRPr="00C518F2">
        <w:rPr>
          <w:rFonts w:ascii="Arial" w:eastAsia="Arial Unicode MS" w:hAnsi="Arial" w:cs="Arial"/>
        </w:rPr>
        <w:t xml:space="preserve"> se declara la existencia del quórum legal. -----------------------------------------</w:t>
      </w:r>
      <w:r w:rsidR="00C27440">
        <w:rPr>
          <w:rFonts w:ascii="Arial" w:eastAsia="Arial Unicode MS" w:hAnsi="Arial" w:cs="Arial"/>
        </w:rPr>
        <w:t>-------------</w:t>
      </w:r>
    </w:p>
    <w:p w:rsidR="000F67ED" w:rsidRDefault="000F67ED" w:rsidP="00C27440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:rsidR="00C27440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>SEGUNDO PUNTO.-</w:t>
      </w:r>
      <w:r w:rsidRPr="00C518F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 La presidenta de la Comisión, da a conocer el Plan de Trabajo de la Comisión Edilicia </w:t>
      </w:r>
      <w:r w:rsidRPr="00C518F2">
        <w:rPr>
          <w:rFonts w:ascii="Arial" w:hAnsi="Arial" w:cs="Arial"/>
        </w:rPr>
        <w:t>Permanente de Limpia, Áreas Verdes, Medio Ambiente y Ecología</w:t>
      </w:r>
      <w:r>
        <w:rPr>
          <w:rFonts w:ascii="Arial" w:hAnsi="Arial" w:cs="Arial"/>
        </w:rPr>
        <w:t>, mediante lectura del contenido del mismo, sometiendo a consideración de los presentes de la Comisión para su aprobación, siendo aprobado por unanimidad de los presentes y se procede a la firma</w:t>
      </w:r>
      <w:r>
        <w:rPr>
          <w:rFonts w:ascii="Arial" w:hAnsi="Arial" w:cs="Arial"/>
        </w:rPr>
        <w:t xml:space="preserve"> de documento.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-----------------------------------</w:t>
      </w:r>
    </w:p>
    <w:p w:rsidR="000F67ED" w:rsidRDefault="000F67ED" w:rsidP="00C27440">
      <w:pPr>
        <w:spacing w:line="276" w:lineRule="auto"/>
        <w:jc w:val="both"/>
        <w:rPr>
          <w:rFonts w:ascii="Arial" w:hAnsi="Arial" w:cs="Arial"/>
          <w:b/>
        </w:rPr>
      </w:pPr>
    </w:p>
    <w:p w:rsidR="00C27440" w:rsidRPr="00100421" w:rsidRDefault="00C27440" w:rsidP="00C27440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 xml:space="preserve">TERCER PUNTO.- Asuntos varios.- </w:t>
      </w:r>
      <w:r>
        <w:rPr>
          <w:rFonts w:ascii="Arial" w:hAnsi="Arial" w:cs="Arial"/>
        </w:rPr>
        <w:t xml:space="preserve">Sin asuntos varios </w:t>
      </w:r>
      <w:proofErr w:type="spellStart"/>
      <w:r>
        <w:rPr>
          <w:rFonts w:ascii="Arial" w:hAnsi="Arial" w:cs="Arial"/>
        </w:rPr>
        <w:t>agendados</w:t>
      </w:r>
      <w:proofErr w:type="spellEnd"/>
      <w:r>
        <w:rPr>
          <w:rFonts w:ascii="Arial" w:hAnsi="Arial" w:cs="Arial"/>
        </w:rPr>
        <w:t xml:space="preserve">, </w:t>
      </w:r>
      <w:r w:rsidR="000F67ED">
        <w:rPr>
          <w:rFonts w:ascii="Arial" w:hAnsi="Arial" w:cs="Arial"/>
        </w:rPr>
        <w:t xml:space="preserve">se </w:t>
      </w:r>
      <w:proofErr w:type="gramStart"/>
      <w:r>
        <w:rPr>
          <w:rFonts w:ascii="Arial" w:hAnsi="Arial" w:cs="Arial"/>
        </w:rPr>
        <w:t>continúa</w:t>
      </w:r>
      <w:proofErr w:type="gramEnd"/>
      <w:r>
        <w:rPr>
          <w:rFonts w:ascii="Arial" w:hAnsi="Arial" w:cs="Arial"/>
        </w:rPr>
        <w:t xml:space="preserve"> con el último punto. -----------------------------------------------------------------------------------</w:t>
      </w:r>
      <w:r>
        <w:rPr>
          <w:rFonts w:ascii="Arial" w:hAnsi="Arial" w:cs="Arial"/>
        </w:rPr>
        <w:t>-</w:t>
      </w:r>
      <w:bookmarkStart w:id="0" w:name="_GoBack"/>
      <w:bookmarkEnd w:id="0"/>
    </w:p>
    <w:p w:rsidR="000F67ED" w:rsidRDefault="000F67ED" w:rsidP="00C27440">
      <w:pPr>
        <w:jc w:val="both"/>
        <w:rPr>
          <w:rFonts w:ascii="Arial" w:hAnsi="Arial" w:cs="Arial"/>
          <w:b/>
        </w:rPr>
      </w:pPr>
    </w:p>
    <w:p w:rsidR="00C27440" w:rsidRPr="00C518F2" w:rsidRDefault="00C27440" w:rsidP="00C27440">
      <w:pPr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>CUARTO PUNTO.- Clausura</w:t>
      </w:r>
      <w:r w:rsidRPr="00C518F2">
        <w:rPr>
          <w:rFonts w:ascii="Arial" w:hAnsi="Arial" w:cs="Arial"/>
        </w:rPr>
        <w:t>. La presidenta de la Comisión procede a la clausura de la sesión siendo las 11:</w:t>
      </w:r>
      <w:r>
        <w:rPr>
          <w:rFonts w:ascii="Arial" w:hAnsi="Arial" w:cs="Arial"/>
        </w:rPr>
        <w:t>15</w:t>
      </w:r>
      <w:r w:rsidRPr="00C518F2">
        <w:rPr>
          <w:rFonts w:ascii="Arial" w:hAnsi="Arial" w:cs="Arial"/>
        </w:rPr>
        <w:t xml:space="preserve"> once horas con </w:t>
      </w:r>
      <w:r>
        <w:rPr>
          <w:rFonts w:ascii="Arial" w:hAnsi="Arial" w:cs="Arial"/>
        </w:rPr>
        <w:t>quince</w:t>
      </w:r>
      <w:r w:rsidRPr="00C518F2">
        <w:rPr>
          <w:rFonts w:ascii="Arial" w:hAnsi="Arial" w:cs="Arial"/>
        </w:rPr>
        <w:t xml:space="preserve"> minutos del día 15 quince de </w:t>
      </w:r>
      <w:r>
        <w:rPr>
          <w:rFonts w:ascii="Arial" w:hAnsi="Arial" w:cs="Arial"/>
        </w:rPr>
        <w:t>diciembre</w:t>
      </w:r>
      <w:r w:rsidRPr="00C518F2">
        <w:rPr>
          <w:rFonts w:ascii="Arial" w:hAnsi="Arial" w:cs="Arial"/>
        </w:rPr>
        <w:t xml:space="preserve"> del año 2021 dos mil veintiuno.</w:t>
      </w:r>
      <w:r w:rsidRPr="00C518F2">
        <w:rPr>
          <w:rFonts w:ascii="Arial" w:hAnsi="Arial" w:cs="Arial"/>
          <w:lang w:val="es-ES"/>
        </w:rPr>
        <w:t xml:space="preserve"> Firman el acta los integrantes de la comisión como evidencia para validar lo aquí acordado y para los efectos legales a que haya lugar.-----------------------------------------------------------------------------</w:t>
      </w:r>
      <w:r>
        <w:rPr>
          <w:rFonts w:ascii="Arial" w:hAnsi="Arial" w:cs="Arial"/>
          <w:lang w:val="es-ES"/>
        </w:rPr>
        <w:t>------------</w:t>
      </w:r>
    </w:p>
    <w:p w:rsidR="00C27440" w:rsidRPr="00C518F2" w:rsidRDefault="00C27440" w:rsidP="00C27440">
      <w:pPr>
        <w:rPr>
          <w:rFonts w:ascii="Arial" w:hAnsi="Arial"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C27440" w:rsidRPr="00C518F2" w:rsidTr="00960621">
        <w:tc>
          <w:tcPr>
            <w:tcW w:w="9322" w:type="dxa"/>
            <w:gridSpan w:val="2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MX"/>
              </w:rPr>
              <w:t>C. SARA MORENO RAMÍREZ</w:t>
            </w:r>
          </w:p>
        </w:tc>
      </w:tr>
      <w:tr w:rsidR="00C27440" w:rsidRPr="00C518F2" w:rsidTr="00960621">
        <w:tc>
          <w:tcPr>
            <w:tcW w:w="9322" w:type="dxa"/>
            <w:gridSpan w:val="2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C27440" w:rsidRPr="00C518F2" w:rsidTr="00960621">
        <w:trPr>
          <w:trHeight w:val="1680"/>
        </w:trPr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C27440" w:rsidRPr="00C518F2" w:rsidTr="00960621"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LIC. FRANCISCO IGNACIO CARRILLO GÓMEZ</w:t>
            </w: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TAE. MÓNICA REYNOSO ROMERO</w:t>
            </w:r>
          </w:p>
        </w:tc>
      </w:tr>
      <w:tr w:rsidR="00C27440" w:rsidRPr="00C518F2" w:rsidTr="00960621"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C27440" w:rsidRPr="00C518F2" w:rsidRDefault="00C27440" w:rsidP="00C27440">
      <w:pPr>
        <w:spacing w:line="276" w:lineRule="auto"/>
        <w:rPr>
          <w:rFonts w:ascii="Arial" w:hAnsi="Arial" w:cs="Arial"/>
          <w:sz w:val="16"/>
          <w:lang w:val="en-US"/>
        </w:rPr>
      </w:pPr>
    </w:p>
    <w:p w:rsidR="00C27440" w:rsidRPr="00C518F2" w:rsidRDefault="00C27440" w:rsidP="00C27440">
      <w:pPr>
        <w:spacing w:line="276" w:lineRule="auto"/>
        <w:rPr>
          <w:rFonts w:ascii="Arial" w:hAnsi="Arial" w:cs="Arial"/>
          <w:sz w:val="16"/>
          <w:lang w:val="en-US"/>
        </w:rPr>
      </w:pPr>
    </w:p>
    <w:p w:rsidR="00C27440" w:rsidRPr="00100421" w:rsidRDefault="00C27440" w:rsidP="00C27440">
      <w:pPr>
        <w:spacing w:line="276" w:lineRule="auto"/>
        <w:rPr>
          <w:rFonts w:ascii="Arial" w:hAnsi="Arial" w:cs="Arial"/>
          <w:sz w:val="16"/>
        </w:rPr>
      </w:pPr>
      <w:proofErr w:type="spellStart"/>
      <w:r w:rsidRPr="00100421">
        <w:rPr>
          <w:rFonts w:ascii="Arial" w:hAnsi="Arial" w:cs="Arial"/>
          <w:sz w:val="16"/>
        </w:rPr>
        <w:t>C.c.p</w:t>
      </w:r>
      <w:proofErr w:type="spellEnd"/>
      <w:r w:rsidRPr="00100421">
        <w:rPr>
          <w:rFonts w:ascii="Arial" w:hAnsi="Arial" w:cs="Arial"/>
          <w:sz w:val="16"/>
        </w:rPr>
        <w:t>. Archivo</w:t>
      </w:r>
    </w:p>
    <w:p w:rsidR="00C27440" w:rsidRDefault="00C27440" w:rsidP="00C27440">
      <w:pPr>
        <w:spacing w:line="276" w:lineRule="auto"/>
        <w:rPr>
          <w:rFonts w:ascii="Arial" w:hAnsi="Arial" w:cs="Arial"/>
          <w:sz w:val="16"/>
          <w:lang w:val="pt-BR"/>
        </w:rPr>
      </w:pPr>
      <w:r w:rsidRPr="00C518F2">
        <w:rPr>
          <w:rFonts w:ascii="Arial" w:hAnsi="Arial" w:cs="Arial"/>
          <w:sz w:val="16"/>
          <w:lang w:val="pt-BR"/>
        </w:rPr>
        <w:t>SMR/KCT/</w:t>
      </w:r>
      <w:proofErr w:type="spellStart"/>
      <w:r w:rsidRPr="00C518F2">
        <w:rPr>
          <w:rFonts w:ascii="Arial" w:hAnsi="Arial" w:cs="Arial"/>
          <w:sz w:val="16"/>
          <w:lang w:val="pt-BR"/>
        </w:rPr>
        <w:t>lggp</w:t>
      </w:r>
      <w:proofErr w:type="spellEnd"/>
    </w:p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  <w:r w:rsidRPr="00C27440"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Se somete la aprobación del Plan de Trabajo de la Comisión Edilicia de Limpia, Áreas Verdes, Medio Ambiente y Ecología, mediante Sesión Ordinaria número 2, de fecha 15 de diciembre del 2021</w:t>
      </w:r>
      <w:r>
        <w:rPr>
          <w:rFonts w:ascii="Verdana" w:hAnsi="Verdana" w:cs="Arial"/>
          <w:b/>
          <w:szCs w:val="28"/>
        </w:rPr>
        <w:t>.</w:t>
      </w: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1"/>
        <w:gridCol w:w="1885"/>
        <w:gridCol w:w="1331"/>
        <w:gridCol w:w="1488"/>
        <w:gridCol w:w="2243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2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2 VOTOS A FAVOR DE LA APROBACIÓN DE LA INSTALACIÓN DE LA COMISIÓN EDICILIA DE LIMPIA, ÁREAS VERDES, MEDIO AMBIENTE Y ECOLOGÍA.</w:t>
      </w:r>
    </w:p>
    <w:p w:rsidR="00C27440" w:rsidRPr="00C27440" w:rsidRDefault="00C27440" w:rsidP="00C27440">
      <w:pPr>
        <w:spacing w:line="276" w:lineRule="auto"/>
        <w:rPr>
          <w:rFonts w:ascii="Arial" w:hAnsi="Arial" w:cs="Arial"/>
          <w:sz w:val="20"/>
        </w:rPr>
      </w:pPr>
    </w:p>
    <w:p w:rsidR="00D24B7C" w:rsidRDefault="000F67ED"/>
    <w:sectPr w:rsidR="00D24B7C" w:rsidSect="00D90D79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67ED">
          <w:rPr>
            <w:noProof/>
            <w:lang w:val="es-ES"/>
          </w:rPr>
          <w:t>3</w:t>
        </w:r>
        <w:r>
          <w:fldChar w:fldCharType="end"/>
        </w:r>
      </w:p>
    </w:sdtContent>
  </w:sdt>
  <w:p w:rsidR="002C3F32" w:rsidRDefault="000F67E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0F67E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666496"/>
    <w:rsid w:val="00C27440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2021-12-17T19:59:00Z</dcterms:created>
  <dcterms:modified xsi:type="dcterms:W3CDTF">2021-12-17T20:03:00Z</dcterms:modified>
</cp:coreProperties>
</file>